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940" w:type="dxa"/>
        <w:tblInd w:w="-312" w:type="dxa"/>
        <w:tblLayout w:type="fixed"/>
        <w:tblCellMar>
          <w:top w:w="0" w:type="dxa"/>
          <w:left w:w="108" w:type="dxa"/>
          <w:bottom w:w="0" w:type="dxa"/>
          <w:right w:w="108" w:type="dxa"/>
        </w:tblCellMar>
      </w:tblPr>
      <w:tblGrid>
        <w:gridCol w:w="3640"/>
        <w:gridCol w:w="6300"/>
      </w:tblGrid>
      <w:tr w14:paraId="08137F89">
        <w:tblPrEx>
          <w:tblCellMar>
            <w:top w:w="0" w:type="dxa"/>
            <w:left w:w="108" w:type="dxa"/>
            <w:bottom w:w="0" w:type="dxa"/>
            <w:right w:w="108" w:type="dxa"/>
          </w:tblCellMar>
        </w:tblPrEx>
        <w:trPr>
          <w:trHeight w:val="345" w:hRule="atLeast"/>
        </w:trPr>
        <w:tc>
          <w:tcPr>
            <w:tcW w:w="3640" w:type="dxa"/>
          </w:tcPr>
          <w:p w14:paraId="139EEB60">
            <w:pPr>
              <w:jc w:val="center"/>
              <w:rPr>
                <w:b/>
                <w:bCs/>
                <w:sz w:val="26"/>
                <w:szCs w:val="26"/>
                <w:lang w:val="pt-BR"/>
              </w:rPr>
            </w:pPr>
            <w:bookmarkStart w:id="3" w:name="_GoBack"/>
            <w:bookmarkEnd w:id="3"/>
            <w:r>
              <w:rPr>
                <w:b/>
                <w:bCs/>
                <w:sz w:val="26"/>
                <w:szCs w:val="26"/>
              </w:rP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407035</wp:posOffset>
                      </wp:positionV>
                      <wp:extent cx="558800" cy="0"/>
                      <wp:effectExtent l="0" t="0" r="0" b="0"/>
                      <wp:wrapNone/>
                      <wp:docPr id="1671348268" name="Lines 2"/>
                      <wp:cNvGraphicFramePr/>
                      <a:graphic xmlns:a="http://schemas.openxmlformats.org/drawingml/2006/main">
                        <a:graphicData uri="http://schemas.microsoft.com/office/word/2010/wordprocessingShape">
                          <wps:wsp>
                            <wps:cNvCnPr>
                              <a:cxnSpLocks noChangeShapeType="1"/>
                            </wps:cNvCnPr>
                            <wps:spPr bwMode="auto">
                              <a:xfrm>
                                <a:off x="0" y="0"/>
                                <a:ext cx="558720" cy="0"/>
                              </a:xfrm>
                              <a:prstGeom prst="line">
                                <a:avLst/>
                              </a:prstGeom>
                              <a:noFill/>
                              <a:ln w="9525">
                                <a:solidFill>
                                  <a:srgbClr val="000000"/>
                                </a:solidFill>
                                <a:round/>
                              </a:ln>
                            </wps:spPr>
                            <wps:bodyPr/>
                          </wps:wsp>
                        </a:graphicData>
                      </a:graphic>
                    </wp:anchor>
                  </w:drawing>
                </mc:Choice>
                <mc:Fallback>
                  <w:pict>
                    <v:line id="Lines 2" o:spid="_x0000_s1026" o:spt="20" style="position:absolute;left:0pt;margin-top:32.05pt;height:0pt;width:44pt;mso-position-horizontal:center;z-index:251659264;mso-width-relative:page;mso-height-relative:page;" filled="f" stroked="t" coordsize="21600,21600" o:gfxdata="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LBK/iNIAAAAFAQAADwAAAAAAAAABACAAAAAiAAAAZHJz&#10;L2Rvd25yZXYueG1sUEsBAhQAFAAAAAgAh07iQDBV/wTRAQAAqAMAAA4AAAAAAAAAAQAgAAAAIQEA&#10;AGRycy9lMm9Eb2MueG1sUEsFBgAAAAAGAAYAWQEAAGQFAAAAAA==&#10;">
                      <v:fill on="f" focussize="0,0"/>
                      <v:stroke color="#000000" joinstyle="round"/>
                      <v:imagedata o:title=""/>
                      <o:lock v:ext="edit" aspectratio="f"/>
                    </v:line>
                  </w:pict>
                </mc:Fallback>
              </mc:AlternateContent>
            </w:r>
            <w:r>
              <w:rPr>
                <w:b/>
                <w:bCs/>
                <w:sz w:val="26"/>
                <w:szCs w:val="26"/>
              </w:rPr>
              <w:t>HỘI ĐỒNG</w:t>
            </w:r>
            <w:r>
              <w:rPr>
                <w:b/>
                <w:bCs/>
                <w:sz w:val="26"/>
                <w:szCs w:val="26"/>
                <w:lang w:val="pt-BR"/>
              </w:rPr>
              <w:t xml:space="preserve"> NHÂN DÂN</w:t>
            </w:r>
            <w:r>
              <w:rPr>
                <w:b/>
                <w:bCs/>
                <w:sz w:val="26"/>
                <w:szCs w:val="26"/>
                <w:lang w:val="pt-BR"/>
              </w:rPr>
              <w:br w:type="textWrapping"/>
            </w:r>
            <w:r>
              <w:rPr>
                <w:b/>
                <w:bCs/>
                <w:sz w:val="26"/>
                <w:szCs w:val="26"/>
                <w:lang w:val="pt-BR"/>
              </w:rPr>
              <w:t>TỈNH HÀ TĨNH</w:t>
            </w:r>
          </w:p>
        </w:tc>
        <w:tc>
          <w:tcPr>
            <w:tcW w:w="6300" w:type="dxa"/>
          </w:tcPr>
          <w:p w14:paraId="52B86BFC">
            <w:pPr>
              <w:spacing w:after="240"/>
              <w:jc w:val="center"/>
              <w:rPr>
                <w:b/>
                <w:bCs/>
                <w:sz w:val="26"/>
                <w:szCs w:val="26"/>
                <w:lang w:val="pt-BR"/>
              </w:rPr>
            </w:pPr>
            <w:r>
              <w:rPr>
                <w:b/>
                <w:bCs/>
                <w:sz w:val="26"/>
                <w:szCs w:val="26"/>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417830</wp:posOffset>
                      </wp:positionV>
                      <wp:extent cx="2125980" cy="0"/>
                      <wp:effectExtent l="0" t="0" r="0" b="0"/>
                      <wp:wrapNone/>
                      <wp:docPr id="1644948577" name="Lines 3"/>
                      <wp:cNvGraphicFramePr/>
                      <a:graphic xmlns:a="http://schemas.openxmlformats.org/drawingml/2006/main">
                        <a:graphicData uri="http://schemas.microsoft.com/office/word/2010/wordprocessingShape">
                          <wps:wsp>
                            <wps:cNvCnPr>
                              <a:cxnSpLocks noChangeShapeType="1"/>
                            </wps:cNvCnPr>
                            <wps:spPr bwMode="auto">
                              <a:xfrm>
                                <a:off x="0" y="0"/>
                                <a:ext cx="2126160" cy="0"/>
                              </a:xfrm>
                              <a:prstGeom prst="line">
                                <a:avLst/>
                              </a:prstGeom>
                              <a:noFill/>
                              <a:ln w="9525">
                                <a:solidFill>
                                  <a:srgbClr val="000000"/>
                                </a:solidFill>
                                <a:round/>
                              </a:ln>
                            </wps:spPr>
                            <wps:bodyPr/>
                          </wps:wsp>
                        </a:graphicData>
                      </a:graphic>
                    </wp:anchor>
                  </w:drawing>
                </mc:Choice>
                <mc:Fallback>
                  <w:pict>
                    <v:line id="Lines 3" o:spid="_x0000_s1026" o:spt="20" style="position:absolute;left:0pt;margin-top:32.9pt;height:0pt;width:167.4pt;mso-position-horizontal:center;z-index:251660288;mso-width-relative:page;mso-height-relative:page;" filled="f" stroked="t" coordsize="21600,21600" o:gfxdata="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IdyGtrUAAAABgEAAA8AAAAAAAAAAQAgAAAAIgAA&#10;AGRycy9kb3ducmV2LnhtbFBLAQIUABQAAAAIAIdO4kBZ1JRD0wEAAKkDAAAOAAAAAAAAAAEAIAAA&#10;ACMBAABkcnMvZTJvRG9jLnhtbFBLBQYAAAAABgAGAFkBAABoBQAAAAA=&#10;">
                      <v:fill on="f" focussize="0,0"/>
                      <v:stroke color="#000000" joinstyle="round"/>
                      <v:imagedata o:title=""/>
                      <o:lock v:ext="edit" aspectratio="f"/>
                    </v:line>
                  </w:pict>
                </mc:Fallback>
              </mc:AlternateContent>
            </w:r>
            <w:r>
              <w:rPr>
                <w:b/>
                <w:bCs/>
                <w:sz w:val="26"/>
                <w:szCs w:val="26"/>
                <w:lang w:val="pt-BR"/>
              </w:rPr>
              <w:t>CỘNG HÒA XÃ HỘI CHỦ NGHĨA VIỆT NAM</w:t>
            </w:r>
            <w:r>
              <w:rPr>
                <w:b/>
                <w:bCs/>
                <w:sz w:val="26"/>
                <w:szCs w:val="26"/>
                <w:lang w:val="pt-BR"/>
              </w:rPr>
              <w:br w:type="textWrapping"/>
            </w:r>
            <w:r>
              <w:rPr>
                <w:b/>
                <w:bCs/>
                <w:lang w:val="pt-BR"/>
              </w:rPr>
              <w:t>Độc lập - Tự do - Hạnh phúc</w:t>
            </w:r>
          </w:p>
        </w:tc>
      </w:tr>
      <w:tr w14:paraId="6BDA2A1F">
        <w:tblPrEx>
          <w:tblCellMar>
            <w:top w:w="0" w:type="dxa"/>
            <w:left w:w="108" w:type="dxa"/>
            <w:bottom w:w="0" w:type="dxa"/>
            <w:right w:w="108" w:type="dxa"/>
          </w:tblCellMar>
        </w:tblPrEx>
        <w:trPr>
          <w:trHeight w:val="345" w:hRule="atLeast"/>
        </w:trPr>
        <w:tc>
          <w:tcPr>
            <w:tcW w:w="3640" w:type="dxa"/>
          </w:tcPr>
          <w:p w14:paraId="6F106E34">
            <w:pPr>
              <w:jc w:val="center"/>
              <w:rPr>
                <w:sz w:val="26"/>
                <w:szCs w:val="26"/>
                <w:lang w:val="pt-BR"/>
              </w:rPr>
            </w:pPr>
            <w:r>
              <w:rPr>
                <w:sz w:val="26"/>
                <w:szCs w:val="26"/>
                <w:lang w:val="pt-BR"/>
              </w:rPr>
              <w:t>Số:           /2026/NQ-HĐND</w:t>
            </w:r>
          </w:p>
        </w:tc>
        <w:tc>
          <w:tcPr>
            <w:tcW w:w="6300" w:type="dxa"/>
          </w:tcPr>
          <w:p w14:paraId="6460AD03">
            <w:pPr>
              <w:jc w:val="center"/>
              <w:rPr>
                <w:i/>
                <w:iCs/>
                <w:sz w:val="26"/>
                <w:szCs w:val="26"/>
                <w:lang w:val="pt-BR"/>
              </w:rPr>
            </w:pPr>
            <w:r>
              <w:rPr>
                <w:i/>
                <w:iCs/>
                <w:sz w:val="26"/>
                <w:szCs w:val="26"/>
                <w:lang w:val="pt-BR"/>
              </w:rPr>
              <w:t>Hà Tĩnh, ngày       tháng       năm 2026</w:t>
            </w:r>
          </w:p>
        </w:tc>
      </w:tr>
    </w:tbl>
    <w:p w14:paraId="2B8EE5E4">
      <w:pPr>
        <w:spacing w:before="120"/>
        <w:rPr>
          <w:b/>
          <w:lang w:val="pt-BR"/>
        </w:rPr>
      </w:pPr>
      <w:r>
        <w:rPr>
          <w:b/>
          <w:lang w:val="pt-BR"/>
        </w:rPr>
        <mc:AlternateContent>
          <mc:Choice Requires="wps">
            <w:drawing>
              <wp:anchor distT="0" distB="0" distL="114300" distR="114300" simplePos="0" relativeHeight="251662336" behindDoc="0" locked="0" layoutInCell="1" allowOverlap="1">
                <wp:simplePos x="0" y="0"/>
                <wp:positionH relativeFrom="column">
                  <wp:posOffset>207010</wp:posOffset>
                </wp:positionH>
                <wp:positionV relativeFrom="paragraph">
                  <wp:posOffset>105410</wp:posOffset>
                </wp:positionV>
                <wp:extent cx="1259205" cy="316230"/>
                <wp:effectExtent l="0" t="0" r="17780" b="26670"/>
                <wp:wrapNone/>
                <wp:docPr id="1423241909" name="Rectangle 4"/>
                <wp:cNvGraphicFramePr/>
                <a:graphic xmlns:a="http://schemas.openxmlformats.org/drawingml/2006/main">
                  <a:graphicData uri="http://schemas.microsoft.com/office/word/2010/wordprocessingShape">
                    <wps:wsp>
                      <wps:cNvSpPr/>
                      <wps:spPr>
                        <a:xfrm>
                          <a:off x="0" y="0"/>
                          <a:ext cx="1259058" cy="31652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2749F1A">
                            <w:pPr>
                              <w:jc w:val="center"/>
                              <w:rPr>
                                <w:b/>
                                <w:bCs/>
                              </w:rPr>
                            </w:pPr>
                            <w:r>
                              <w:rPr>
                                <w:b/>
                                <w:bCs/>
                              </w:rPr>
                              <w:t>DỰ THẢO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 o:spid="_x0000_s1026" o:spt="1" style="position:absolute;left:0pt;margin-left:16.3pt;margin-top:8.3pt;height:24.9pt;width:99.15pt;z-index:251662336;v-text-anchor:middle;mso-width-relative:page;mso-height-relative:page;" fillcolor="#FFFFFF [3201]" filled="t" stroked="t" coordsize="21600,21600" o:gfxdata="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U/pzb1gAAAAgBAAAPAAAAAAAAAAEAIAAAACIAAABkcnMvZG93bnJl&#10;di54bWxQSwECFAAUAAAACACHTuJAjWjDtXECAAALBQAADgAAAAAAAAABACAAAAAlAQAAZHJzL2Uy&#10;b0RvYy54bWxQSwUGAAAAAAYABgBZAQAACAYAAAAA&#10;">
                <v:fill on="t" focussize="0,0"/>
                <v:stroke weight="1pt" color="#000000 [3213]" miterlimit="8" joinstyle="miter"/>
                <v:imagedata o:title=""/>
                <o:lock v:ext="edit" aspectratio="f"/>
                <v:textbox>
                  <w:txbxContent>
                    <w:p w14:paraId="72749F1A">
                      <w:pPr>
                        <w:jc w:val="center"/>
                        <w:rPr>
                          <w:b/>
                          <w:bCs/>
                        </w:rPr>
                      </w:pPr>
                      <w:r>
                        <w:rPr>
                          <w:b/>
                          <w:bCs/>
                        </w:rPr>
                        <w:t>DỰ THẢO</w:t>
                      </w:r>
                    </w:p>
                  </w:txbxContent>
                </v:textbox>
              </v:rect>
            </w:pict>
          </mc:Fallback>
        </mc:AlternateContent>
      </w:r>
    </w:p>
    <w:p w14:paraId="241634C5">
      <w:pPr>
        <w:spacing w:before="120"/>
        <w:jc w:val="center"/>
        <w:rPr>
          <w:b/>
          <w:lang w:val="pt-BR"/>
        </w:rPr>
      </w:pPr>
      <w:r>
        <w:rPr>
          <w:b/>
          <w:bCs/>
        </w:rPr>
        <w:t>NGHỊ QUYẾT</w:t>
      </w:r>
      <w:r>
        <w:rPr>
          <w:b/>
          <w:bCs/>
          <w:lang w:val="pt-BR"/>
        </w:rPr>
        <w:t xml:space="preserve"> </w:t>
      </w:r>
      <w:r>
        <w:rPr>
          <w:b/>
          <w:bCs/>
          <w:lang w:val="pt-BR"/>
        </w:rPr>
        <w:br w:type="textWrapping"/>
      </w:r>
      <w:r>
        <w:rPr>
          <w:b/>
          <w:lang w:val="pt-BR"/>
        </w:rPr>
        <w:t>Sửa đổi, bổ sung một số điều của Quy định kèm theo Nghị quyết số 176/2025/NQ-HĐND ngày 10 tháng 12 năm 2025 của Hội đồng nhân dân tỉnh Hà Tĩnh về quy định Bảng giá đất lần đầu áp dụng từ ngày 01 tháng 01 năm 2026 trên địa bàn tỉnh Hà Tĩnh</w:t>
      </w:r>
    </w:p>
    <w:p w14:paraId="02F33459">
      <w:pPr>
        <w:spacing w:before="120"/>
        <w:rPr>
          <w:b/>
          <w:bCs/>
          <w:color w:val="EE0000"/>
          <w:u w:val="single"/>
          <w:lang w:val="pt-BR"/>
        </w:rPr>
      </w:pPr>
      <w:r>
        <w:rPr>
          <w:b/>
          <w:bCs/>
          <w:color w:val="EE0000"/>
        </w:rPr>
        <mc:AlternateContent>
          <mc:Choice Requires="wps">
            <w:drawing>
              <wp:anchor distT="0" distB="0" distL="114300" distR="114300" simplePos="0" relativeHeight="251661312" behindDoc="0" locked="0" layoutInCell="1" allowOverlap="1">
                <wp:simplePos x="0" y="0"/>
                <wp:positionH relativeFrom="column">
                  <wp:posOffset>2035175</wp:posOffset>
                </wp:positionH>
                <wp:positionV relativeFrom="paragraph">
                  <wp:posOffset>635</wp:posOffset>
                </wp:positionV>
                <wp:extent cx="1758950" cy="0"/>
                <wp:effectExtent l="0" t="0" r="0" b="0"/>
                <wp:wrapNone/>
                <wp:docPr id="143561856" name="Lines 4"/>
                <wp:cNvGraphicFramePr/>
                <a:graphic xmlns:a="http://schemas.openxmlformats.org/drawingml/2006/main">
                  <a:graphicData uri="http://schemas.microsoft.com/office/word/2010/wordprocessingShape">
                    <wps:wsp>
                      <wps:cNvCnPr>
                        <a:cxnSpLocks noChangeShapeType="1"/>
                      </wps:cNvCnPr>
                      <wps:spPr bwMode="auto">
                        <a:xfrm>
                          <a:off x="0" y="0"/>
                          <a:ext cx="1758960" cy="0"/>
                        </a:xfrm>
                        <a:prstGeom prst="line">
                          <a:avLst/>
                        </a:prstGeom>
                        <a:noFill/>
                        <a:ln w="9525">
                          <a:solidFill>
                            <a:srgbClr val="000000"/>
                          </a:solidFill>
                          <a:round/>
                        </a:ln>
                      </wps:spPr>
                      <wps:bodyPr/>
                    </wps:wsp>
                  </a:graphicData>
                </a:graphic>
              </wp:anchor>
            </w:drawing>
          </mc:Choice>
          <mc:Fallback>
            <w:pict>
              <v:line id="Lines 4" o:spid="_x0000_s1026" o:spt="20" style="position:absolute;left:0pt;margin-left:160.25pt;margin-top:0.05pt;height:0pt;width:138.5pt;z-index:251661312;mso-width-relative:page;mso-height-relative:page;" filled="f" stroked="t" coordsize="21600,21600" o:gfxdata="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e20ED9EAAAAFAQAADwAAAAAAAAABACAAAAAiAAAAZHJz&#10;L2Rvd25yZXYueG1sUEsBAhQAFAAAAAgAh07iQLO1DgvSAQAAqAMAAA4AAAAAAAAAAQAgAAAAIAEA&#10;AGRycy9lMm9Eb2MueG1sUEsFBgAAAAAGAAYAWQEAAGQFAAAAAA==&#10;">
                <v:fill on="f" focussize="0,0"/>
                <v:stroke color="#000000" joinstyle="round"/>
                <v:imagedata o:title=""/>
                <o:lock v:ext="edit" aspectratio="f"/>
              </v:line>
            </w:pict>
          </mc:Fallback>
        </mc:AlternateContent>
      </w:r>
    </w:p>
    <w:p w14:paraId="472BF873">
      <w:pPr>
        <w:ind w:firstLine="720"/>
        <w:rPr>
          <w:i/>
          <w:lang w:val="pt-BR"/>
        </w:rPr>
      </w:pPr>
      <w:r>
        <w:rPr>
          <w:i/>
          <w:lang w:val="pt-BR"/>
        </w:rPr>
        <w:t>Căn cứ Luật Tổ chức chính quyền địa phương số 72/2025/QH15;</w:t>
      </w:r>
    </w:p>
    <w:p w14:paraId="7CE71D81">
      <w:pPr>
        <w:ind w:firstLine="720"/>
        <w:rPr>
          <w:i/>
          <w:lang w:val="pt-BR"/>
        </w:rPr>
      </w:pPr>
      <w:r>
        <w:rPr>
          <w:i/>
          <w:lang w:val="pt-BR"/>
        </w:rPr>
        <w:t>Căn cứ Luật Ban hành văn bản quy phạm pháp luật số 64/2025/QH15 được sửa đổi, bổ sung bởi Luật số 87/2025/QH15;</w:t>
      </w:r>
    </w:p>
    <w:p w14:paraId="4963EAE1">
      <w:pPr>
        <w:ind w:firstLine="720"/>
        <w:rPr>
          <w:i/>
          <w:lang w:val="pt-BR"/>
        </w:rPr>
      </w:pPr>
      <w:r>
        <w:rPr>
          <w:i/>
          <w:lang w:val="pt-BR"/>
        </w:rPr>
        <w:t>Căn cứ Luật Đất đai số 31/2024/QH15 được sửa đổi, bổ sung một số điều bởi các Luật số 43/2024/QH15, số 47/2024/QH15, số 58/2024/QH15, số 71/2025/QH15, số 84/2025/QH15, số 93/2025/QH15, số 95/2025/QH15, số 146/2025/QH15 và số 147/2025/QH15;</w:t>
      </w:r>
    </w:p>
    <w:p w14:paraId="19368DE3">
      <w:pPr>
        <w:ind w:firstLine="720"/>
        <w:rPr>
          <w:i/>
          <w:spacing w:val="-2"/>
          <w:lang w:val="pt-BR"/>
        </w:rPr>
      </w:pPr>
      <w:r>
        <w:rPr>
          <w:i/>
          <w:spacing w:val="-2"/>
          <w:lang w:val="pt-BR"/>
        </w:rPr>
        <w:t>Căn cứ Nghị quyết số 254/2025/QH15 của Quốc hội quy định một số cơ chế, chính sách tháo gỡ khó khăn, vướng mắc trong tổ chức thi hành Luật Đất đai;</w:t>
      </w:r>
    </w:p>
    <w:p w14:paraId="5CEDF044">
      <w:pPr>
        <w:ind w:firstLine="720"/>
        <w:rPr>
          <w:i/>
          <w:lang w:val="pt-BR"/>
        </w:rPr>
      </w:pPr>
      <w:r>
        <w:rPr>
          <w:i/>
          <w:lang w:val="pt-BR"/>
        </w:rPr>
        <w:t>Căn cứ các Nghị định của Chính phủ: số 78/2025/NĐ-CP quy định chi tiết một số điều và biện pháp để tổ chức, hướng dẫn thi hành Luật Ban hành văn bản quy phạm pháp luật được sửa đổi, bổ sung bởi Nghị định số 187/2025/NĐ-CP; số 49/2026/NĐ-CP quy định chi tiết và hướng dẫn một số điều của Nghị quyết số 254/2025/QH15 của Quốc hội quy định một số cơ chế, chính sách tháo gỡ khó khăn, vướng mắc trong tổ chức thi hành Luật Đất đai;</w:t>
      </w:r>
    </w:p>
    <w:p w14:paraId="2BEB1BDC">
      <w:pPr>
        <w:ind w:firstLine="720"/>
        <w:rPr>
          <w:i/>
          <w:lang w:val="pt-BR"/>
        </w:rPr>
      </w:pPr>
      <w:r>
        <w:rPr>
          <w:i/>
          <w:lang w:val="pt-BR"/>
        </w:rPr>
        <w:t xml:space="preserve">Căn cứ Nghị quyết số 176/2025/NQ-HĐND của Hội đồng nhân dân tỉnh quy định Bảng giá đất lần đầu áp dụng từ ngày 01 tháng 01 năm 2026 trên địa bàn tỉnh Hà Tĩnh; </w:t>
      </w:r>
    </w:p>
    <w:p w14:paraId="0B50FA4F">
      <w:pPr>
        <w:ind w:firstLine="720"/>
        <w:rPr>
          <w:i/>
          <w:lang w:val="pt-BR"/>
        </w:rPr>
      </w:pPr>
      <w:r>
        <w:rPr>
          <w:i/>
          <w:lang w:val="pt-BR"/>
        </w:rPr>
        <w:t>Theo đề nghị của Ủy ban nhân dân tỉnh tại Tờ trình số .../TTr-UBND ngày ...tháng...năm 2026 về dự thảo Nghị quyết sửa đổi, bổ sung một số điều của Quy định</w:t>
      </w:r>
      <w:r>
        <w:t xml:space="preserve"> </w:t>
      </w:r>
      <w:r>
        <w:rPr>
          <w:i/>
          <w:lang w:val="pt-BR"/>
        </w:rPr>
        <w:t>kèm theo Nghị quyết số 176/2025/NQ-HĐND ngày 10 tháng 12 năm 2025 của Hội đồng nhân dân tỉnh Hà Tĩnh về quy định Bảng giá đất lần đầu áp dụng từ ngày 01 tháng 01 năm 2026 trên địa bàn tỉnh Hà Tĩnh; Báo cáo thẩm tra số .../BC-HĐND ngày ... tháng ... năm 2026 của Ban Kinh tế - Ngân sách Hội đồng nhân dân tỉnh và ý kiến thảo luận của đại biểu Hội đồng nhân dân tỉnh tại Kỳ họp;</w:t>
      </w:r>
    </w:p>
    <w:p w14:paraId="7DD274E2">
      <w:pPr>
        <w:ind w:firstLine="720"/>
        <w:rPr>
          <w:i/>
          <w:lang w:val="pt-BR"/>
        </w:rPr>
      </w:pPr>
      <w:r>
        <w:rPr>
          <w:i/>
          <w:lang w:val="pt-BR"/>
        </w:rPr>
        <w:t>Hội đồng nhân dân tỉnh ban hành Nghị quyết sửa đổi, bổ sung một số điều của Quy định</w:t>
      </w:r>
      <w:r>
        <w:t xml:space="preserve"> </w:t>
      </w:r>
      <w:r>
        <w:rPr>
          <w:i/>
          <w:lang w:val="pt-BR"/>
        </w:rPr>
        <w:t>kèm theo Nghị quyết số 176/2025/NQ-HĐND ngày 10 tháng 12 năm 2025 của Hội đồng nhân dân tỉnh Hà Tĩnh về quy định Bảng giá đất lần đầu áp dụng từ ngày 01 tháng 01 năm 2026 trên địa bàn tỉnh Hà Tĩnh.</w:t>
      </w:r>
    </w:p>
    <w:p w14:paraId="3EBB0832">
      <w:pPr>
        <w:ind w:firstLine="720"/>
        <w:rPr>
          <w:b/>
          <w:lang w:val="pt-BR"/>
        </w:rPr>
      </w:pPr>
      <w:r>
        <w:rPr>
          <w:b/>
          <w:lang w:val="pt-BR"/>
        </w:rPr>
        <w:t>Điều 1. Sửa đổi, bổ sung một số điều của Quy định kèm theo Nghị quyết số 176/2025/NQ-HĐND ngày 10 tháng 12 năm 2025 của Hội đồng nhân dân tỉnh Hà Tĩnh về quy định Bảng giá đất lần đầu áp dụng từ ngày 01 tháng 01 năm 2026 trên địa bàn tỉnh Hà Tĩnh.</w:t>
      </w:r>
    </w:p>
    <w:p w14:paraId="4228B038">
      <w:pPr>
        <w:ind w:firstLine="720"/>
        <w:rPr>
          <w:bCs/>
          <w:lang w:val="pt-BR"/>
        </w:rPr>
      </w:pPr>
      <w:r>
        <w:rPr>
          <w:bCs/>
          <w:lang w:val="pt-BR"/>
        </w:rPr>
        <w:t>1. Sửa đổi, bổ sung tại Bảng 06, Bảng 07 và Bảng 08 như sau:</w:t>
      </w:r>
    </w:p>
    <w:p w14:paraId="62B8376B">
      <w:pPr>
        <w:ind w:firstLine="720"/>
        <w:rPr>
          <w:bCs/>
          <w:i/>
          <w:iCs/>
          <w:lang w:val="pt-BR"/>
        </w:rPr>
      </w:pPr>
      <w:r>
        <w:rPr>
          <w:bCs/>
          <w:lang w:val="pt-BR"/>
        </w:rPr>
        <w:t xml:space="preserve">a) Sửa đổi, bổ sung Bảng 06 giá đất ở tại đô thị, giá đất thương mại, dịch vụ, giá đất cơ sở sản xuất phi nông nghiệp tại đô thị ban hành kèm theo Nghị quyết số 176/2025/NQ-HĐND thành Bảng 06 ban hành kèm theo Nghị quyết này </w:t>
      </w:r>
      <w:r>
        <w:rPr>
          <w:bCs/>
          <w:i/>
          <w:iCs/>
          <w:lang w:val="pt-BR"/>
        </w:rPr>
        <w:t>(chi tiết tại Bảng 06 kèm theo).</w:t>
      </w:r>
    </w:p>
    <w:p w14:paraId="3B696A73">
      <w:pPr>
        <w:ind w:firstLine="720"/>
        <w:rPr>
          <w:bCs/>
          <w:i/>
          <w:iCs/>
          <w:lang w:val="pt-BR"/>
        </w:rPr>
      </w:pPr>
      <w:r>
        <w:rPr>
          <w:bCs/>
          <w:lang w:val="pt-BR"/>
        </w:rPr>
        <w:t>b) Sửa đổi, bổ sung Bảng 07 giá đất ở tại nông thôn, giá đất thương mại, dịch vụ, giá đất cơ sở sản xuất phi nông nghiệp tại nông thôn ban hành kèm theo Nghị quyết số 176/2025/NQ-HĐND thành Bảng 07 ban hành kèm theo Nghị quyết này</w:t>
      </w:r>
      <w:r>
        <w:rPr>
          <w:bCs/>
          <w:i/>
          <w:iCs/>
          <w:lang w:val="pt-BR"/>
        </w:rPr>
        <w:t xml:space="preserve"> (chi tiết tại Bảng 07 kèm theo).</w:t>
      </w:r>
    </w:p>
    <w:p w14:paraId="65399E25">
      <w:pPr>
        <w:ind w:firstLine="720"/>
        <w:rPr>
          <w:bCs/>
          <w:i/>
          <w:iCs/>
          <w:lang w:val="pt-BR"/>
        </w:rPr>
      </w:pPr>
      <w:r>
        <w:rPr>
          <w:bCs/>
          <w:lang w:val="pt-BR"/>
        </w:rPr>
        <w:t xml:space="preserve">c) Sửa đổi, bổ sung Bảng 08 giá đất sản xuất, kinh doanh phi nông nghiệp tại khu công nghiệp, cụm công nghiệp ban hành kèm theo Nghị quyết số 176/2025/NQ-HĐND thành Bảng 08 ban hành kèm theo Nghị quyết này </w:t>
      </w:r>
      <w:r>
        <w:rPr>
          <w:bCs/>
          <w:i/>
          <w:iCs/>
          <w:lang w:val="pt-BR"/>
        </w:rPr>
        <w:t>(chi tiết tại Bảng 08 kèm theo).</w:t>
      </w:r>
    </w:p>
    <w:p w14:paraId="3113F783">
      <w:pPr>
        <w:ind w:firstLine="720"/>
        <w:rPr>
          <w:bCs/>
          <w:lang w:val="pt-BR"/>
        </w:rPr>
      </w:pPr>
      <w:r>
        <w:rPr>
          <w:bCs/>
          <w:lang w:val="pt-BR"/>
        </w:rPr>
        <w:t>2. Các nội dung khác của Quy định ban hành kèm theo Nghị quyết số 176/2025/NQ-HĐND ngày 10 tháng 12 năm 2025 của Hội đồng nhân dân tỉnh không thuộc phạm vi sửa đổi, bổ sung tại Nghị quyết này giữ nguyên hiệu lực thi hành.</w:t>
      </w:r>
    </w:p>
    <w:p w14:paraId="30D423A0">
      <w:pPr>
        <w:ind w:firstLine="720"/>
        <w:rPr>
          <w:lang w:val="sv-SE"/>
        </w:rPr>
      </w:pPr>
      <w:bookmarkStart w:id="0" w:name="dieu_4"/>
      <w:bookmarkStart w:id="1" w:name="_Hlk227155825"/>
      <w:r>
        <w:rPr>
          <w:b/>
          <w:bCs/>
          <w:lang w:val="sv-SE"/>
        </w:rPr>
        <w:t>Điều 2. Điều khoản thi hành</w:t>
      </w:r>
    </w:p>
    <w:p w14:paraId="556782F2">
      <w:pPr>
        <w:ind w:firstLine="720"/>
        <w:rPr>
          <w:bCs/>
          <w:lang w:val="pt-BR"/>
        </w:rPr>
      </w:pPr>
      <w:r>
        <w:rPr>
          <w:bCs/>
          <w:lang w:val="pt-BR"/>
        </w:rPr>
        <w:t>1. Nghị quyết này có hiệu lực thi hành từ ngày     tháng     năm 2026.</w:t>
      </w:r>
    </w:p>
    <w:p w14:paraId="64B9C0CA">
      <w:pPr>
        <w:ind w:firstLine="720"/>
        <w:rPr>
          <w:bCs/>
          <w:lang w:val="pt-BR"/>
        </w:rPr>
      </w:pPr>
      <w:r>
        <w:rPr>
          <w:bCs/>
          <w:lang w:val="pt-BR"/>
        </w:rPr>
        <w:t>2. Trong quá trình thực hiện, trường hợp các văn bản quy phạm pháp luật được viện dẫn tại Nghị quyết này được sửa đổi, bổ sung hoặc thay thế thì áp dụng theo văn bản sửa đổi, bổ sung hoặc thay thế đó.</w:t>
      </w:r>
    </w:p>
    <w:p w14:paraId="4D6F5E99">
      <w:pPr>
        <w:ind w:firstLine="720"/>
        <w:rPr>
          <w:b/>
          <w:bCs/>
          <w:lang w:val="sv-SE"/>
        </w:rPr>
      </w:pPr>
      <w:r>
        <w:rPr>
          <w:b/>
          <w:bCs/>
          <w:lang w:val="sv-SE"/>
        </w:rPr>
        <w:t>Điều 3. Tổ chức thực hiện</w:t>
      </w:r>
      <w:bookmarkEnd w:id="0"/>
    </w:p>
    <w:p w14:paraId="75005C85">
      <w:pPr>
        <w:ind w:firstLine="720"/>
        <w:rPr>
          <w:lang w:val="sv-SE"/>
        </w:rPr>
      </w:pPr>
      <w:r>
        <w:rPr>
          <w:lang w:val="sv-SE"/>
        </w:rPr>
        <w:t>1. Ủy ban nhân dân tỉnh tổ chức thực hiện Nghị quyết.</w:t>
      </w:r>
    </w:p>
    <w:p w14:paraId="16D26648">
      <w:pPr>
        <w:ind w:firstLine="720"/>
        <w:rPr>
          <w:lang w:val="sv-SE"/>
        </w:rPr>
      </w:pPr>
      <w:r>
        <w:rPr>
          <w:lang w:val="sv-SE"/>
        </w:rPr>
        <w:t xml:space="preserve">2. </w:t>
      </w:r>
      <w:bookmarkStart w:id="2" w:name="dieu_5"/>
      <w:r>
        <w:rPr>
          <w:lang w:val="sv-SE"/>
        </w:rPr>
        <w:t>Thường trực Hội đồng nhân dân, các Ban Hội đồng nhân dân, các tổ đại biểu Hội đồng nhân dân và đại biểu Hội đồng nhân dân tỉnh giám sát việc thực hiện Nghị quyết.</w:t>
      </w:r>
    </w:p>
    <w:bookmarkEnd w:id="1"/>
    <w:bookmarkEnd w:id="2"/>
    <w:p w14:paraId="26CA006D">
      <w:pPr>
        <w:ind w:firstLine="720"/>
        <w:rPr>
          <w:i/>
          <w:iCs/>
          <w:lang w:val="sv-SE"/>
        </w:rPr>
      </w:pPr>
      <w:r>
        <w:rPr>
          <w:i/>
          <w:iCs/>
          <w:lang w:val="sv-SE"/>
        </w:rPr>
        <w:t>Nghị quyết này đã được Hội đồng nhân dân tỉnh Hà Tĩnh khóa .., Kỳ họp....thông qua ngày ... tháng ... năm 2026./.</w:t>
      </w:r>
    </w:p>
    <w:p w14:paraId="7CDEC764">
      <w:pPr>
        <w:ind w:firstLine="720"/>
        <w:rPr>
          <w:lang w:val="sv-SE"/>
        </w:rPr>
      </w:pPr>
    </w:p>
    <w:tbl>
      <w:tblPr>
        <w:tblStyle w:val="12"/>
        <w:tblW w:w="9067" w:type="dxa"/>
        <w:tblInd w:w="0" w:type="dxa"/>
        <w:tblLayout w:type="fixed"/>
        <w:tblCellMar>
          <w:top w:w="0" w:type="dxa"/>
          <w:left w:w="108" w:type="dxa"/>
          <w:bottom w:w="0" w:type="dxa"/>
          <w:right w:w="108" w:type="dxa"/>
        </w:tblCellMar>
      </w:tblPr>
      <w:tblGrid>
        <w:gridCol w:w="4673"/>
        <w:gridCol w:w="4394"/>
      </w:tblGrid>
      <w:tr w14:paraId="415AFB3C">
        <w:tblPrEx>
          <w:tblCellMar>
            <w:top w:w="0" w:type="dxa"/>
            <w:left w:w="108" w:type="dxa"/>
            <w:bottom w:w="0" w:type="dxa"/>
            <w:right w:w="108" w:type="dxa"/>
          </w:tblCellMar>
        </w:tblPrEx>
        <w:trPr>
          <w:trHeight w:val="20" w:hRule="atLeast"/>
        </w:trPr>
        <w:tc>
          <w:tcPr>
            <w:tcW w:w="4673" w:type="dxa"/>
          </w:tcPr>
          <w:p w14:paraId="28CA38E2">
            <w:pPr>
              <w:spacing w:after="0"/>
              <w:jc w:val="left"/>
              <w:rPr>
                <w:b/>
                <w:bCs/>
                <w:i/>
                <w:iCs/>
                <w:sz w:val="24"/>
                <w:szCs w:val="24"/>
                <w:lang w:val="sv-SE"/>
              </w:rPr>
            </w:pPr>
            <w:r>
              <w:rPr>
                <w:b/>
                <w:bCs/>
                <w:i/>
                <w:iCs/>
                <w:sz w:val="24"/>
                <w:szCs w:val="24"/>
                <w:lang w:val="vi-VN"/>
              </w:rPr>
              <w:t>Nơi nhận</w:t>
            </w:r>
            <w:r>
              <w:rPr>
                <w:b/>
                <w:bCs/>
                <w:i/>
                <w:iCs/>
                <w:sz w:val="24"/>
                <w:szCs w:val="24"/>
                <w:lang w:val="sv-SE"/>
              </w:rPr>
              <w:t>:</w:t>
            </w:r>
          </w:p>
          <w:p w14:paraId="70F4F317">
            <w:pPr>
              <w:spacing w:after="0"/>
              <w:jc w:val="left"/>
              <w:rPr>
                <w:bCs/>
                <w:iCs/>
                <w:sz w:val="22"/>
                <w:szCs w:val="22"/>
                <w:lang w:val="sv-SE"/>
              </w:rPr>
            </w:pPr>
            <w:r>
              <w:rPr>
                <w:bCs/>
                <w:iCs/>
                <w:sz w:val="22"/>
                <w:szCs w:val="22"/>
                <w:lang w:val="sv-SE"/>
              </w:rPr>
              <w:t>- Ủy ban Thường vụ Quốc hội;</w:t>
            </w:r>
          </w:p>
          <w:p w14:paraId="63682E07">
            <w:pPr>
              <w:spacing w:after="0"/>
              <w:jc w:val="left"/>
              <w:rPr>
                <w:bCs/>
                <w:iCs/>
                <w:sz w:val="22"/>
                <w:szCs w:val="22"/>
                <w:lang w:val="sv-SE"/>
              </w:rPr>
            </w:pPr>
            <w:r>
              <w:rPr>
                <w:bCs/>
                <w:iCs/>
                <w:sz w:val="22"/>
                <w:szCs w:val="22"/>
                <w:lang w:val="sv-SE"/>
              </w:rPr>
              <w:t>- Chính phủ;</w:t>
            </w:r>
          </w:p>
          <w:p w14:paraId="2729C954">
            <w:pPr>
              <w:spacing w:after="0"/>
              <w:jc w:val="left"/>
              <w:rPr>
                <w:bCs/>
                <w:iCs/>
                <w:sz w:val="22"/>
                <w:szCs w:val="22"/>
                <w:lang w:val="sv-SE"/>
              </w:rPr>
            </w:pPr>
            <w:r>
              <w:rPr>
                <w:bCs/>
                <w:iCs/>
                <w:sz w:val="22"/>
                <w:szCs w:val="22"/>
                <w:lang w:val="sv-SE"/>
              </w:rPr>
              <w:t>- Văn phòng Chính phủ;</w:t>
            </w:r>
          </w:p>
          <w:p w14:paraId="530B2B89">
            <w:pPr>
              <w:spacing w:after="0"/>
              <w:jc w:val="left"/>
              <w:rPr>
                <w:sz w:val="22"/>
                <w:szCs w:val="22"/>
                <w:lang w:val="pt-BR"/>
              </w:rPr>
            </w:pPr>
            <w:r>
              <w:rPr>
                <w:sz w:val="22"/>
                <w:szCs w:val="22"/>
                <w:lang w:val="pt-BR"/>
              </w:rPr>
              <w:t>- Bộ Nông nghiệp và Môi trường;</w:t>
            </w:r>
            <w:r>
              <w:rPr>
                <w:sz w:val="22"/>
                <w:szCs w:val="22"/>
                <w:lang w:val="pt-BR"/>
              </w:rPr>
              <w:br w:type="textWrapping"/>
            </w:r>
            <w:r>
              <w:rPr>
                <w:sz w:val="22"/>
                <w:szCs w:val="22"/>
                <w:lang w:val="pt-BR"/>
              </w:rPr>
              <w:t>- Cục Kiểm tra văn bản và Tổ chức</w:t>
            </w:r>
          </w:p>
          <w:p w14:paraId="41C9446D">
            <w:pPr>
              <w:spacing w:after="0"/>
              <w:jc w:val="left"/>
              <w:rPr>
                <w:sz w:val="22"/>
                <w:szCs w:val="22"/>
                <w:lang w:val="pt-BR"/>
              </w:rPr>
            </w:pPr>
            <w:r>
              <w:rPr>
                <w:sz w:val="22"/>
                <w:szCs w:val="22"/>
                <w:lang w:val="pt-BR"/>
              </w:rPr>
              <w:t xml:space="preserve"> thi hành pháp luật - Bộ Tư pháp;</w:t>
            </w:r>
            <w:r>
              <w:rPr>
                <w:sz w:val="22"/>
                <w:szCs w:val="22"/>
                <w:lang w:val="pt-BR"/>
              </w:rPr>
              <w:br w:type="textWrapping"/>
            </w:r>
            <w:r>
              <w:rPr>
                <w:sz w:val="22"/>
                <w:szCs w:val="22"/>
                <w:lang w:val="pt-BR"/>
              </w:rPr>
              <w:t>- TTr Tỉnh ủy, TTr HĐND tỉnh;</w:t>
            </w:r>
          </w:p>
          <w:p w14:paraId="6B678196">
            <w:pPr>
              <w:spacing w:after="0"/>
              <w:jc w:val="left"/>
              <w:rPr>
                <w:sz w:val="22"/>
                <w:szCs w:val="22"/>
                <w:lang w:val="pt-BR"/>
              </w:rPr>
            </w:pPr>
            <w:r>
              <w:rPr>
                <w:sz w:val="22"/>
                <w:szCs w:val="22"/>
                <w:lang w:val="pt-BR"/>
              </w:rPr>
              <w:t>- Chủ tịch, các PCT UBND tỉnh;</w:t>
            </w:r>
            <w:r>
              <w:rPr>
                <w:sz w:val="22"/>
                <w:szCs w:val="22"/>
                <w:lang w:val="pt-BR"/>
              </w:rPr>
              <w:br w:type="textWrapping"/>
            </w:r>
            <w:r>
              <w:rPr>
                <w:sz w:val="22"/>
                <w:szCs w:val="22"/>
                <w:lang w:val="pt-BR"/>
              </w:rPr>
              <w:t>- Ủy ban MTTQ tỉnh, Đoàn ĐBQH tỉnh;</w:t>
            </w:r>
          </w:p>
          <w:p w14:paraId="747E4156">
            <w:pPr>
              <w:spacing w:after="0"/>
              <w:jc w:val="left"/>
              <w:rPr>
                <w:sz w:val="22"/>
                <w:szCs w:val="22"/>
                <w:lang w:val="pt-BR"/>
              </w:rPr>
            </w:pPr>
            <w:r>
              <w:rPr>
                <w:sz w:val="22"/>
                <w:szCs w:val="22"/>
                <w:lang w:val="pt-BR"/>
              </w:rPr>
              <w:t>- Văn phòng Tỉnh ủy;</w:t>
            </w:r>
          </w:p>
          <w:p w14:paraId="08EBFBB0">
            <w:pPr>
              <w:spacing w:after="0"/>
              <w:jc w:val="left"/>
              <w:rPr>
                <w:sz w:val="22"/>
                <w:szCs w:val="22"/>
                <w:lang w:val="pt-BR"/>
              </w:rPr>
            </w:pPr>
            <w:r>
              <w:rPr>
                <w:sz w:val="22"/>
                <w:szCs w:val="22"/>
                <w:lang w:val="pt-BR"/>
              </w:rPr>
              <w:t>- Văn phòng Đoàn ĐBQH và HĐND tỉnh;</w:t>
            </w:r>
          </w:p>
          <w:p w14:paraId="3ED91625">
            <w:pPr>
              <w:spacing w:after="0"/>
              <w:jc w:val="left"/>
              <w:rPr>
                <w:sz w:val="22"/>
                <w:szCs w:val="22"/>
                <w:lang w:val="pt-BR"/>
              </w:rPr>
            </w:pPr>
            <w:r>
              <w:rPr>
                <w:sz w:val="22"/>
                <w:szCs w:val="22"/>
                <w:lang w:val="pt-BR"/>
              </w:rPr>
              <w:t>- Các Ban HĐND tỉnh;</w:t>
            </w:r>
          </w:p>
          <w:p w14:paraId="07CFA0CE">
            <w:pPr>
              <w:spacing w:after="0"/>
              <w:jc w:val="left"/>
              <w:rPr>
                <w:sz w:val="22"/>
                <w:szCs w:val="22"/>
                <w:lang w:val="pt-BR"/>
              </w:rPr>
            </w:pPr>
            <w:r>
              <w:rPr>
                <w:sz w:val="22"/>
                <w:szCs w:val="22"/>
                <w:lang w:val="pt-BR"/>
              </w:rPr>
              <w:t>- Các Phó CVP UBND tỉnh;</w:t>
            </w:r>
          </w:p>
          <w:p w14:paraId="5C2A737B">
            <w:pPr>
              <w:spacing w:after="0"/>
              <w:jc w:val="left"/>
              <w:rPr>
                <w:sz w:val="22"/>
                <w:szCs w:val="22"/>
                <w:lang w:val="pt-BR"/>
              </w:rPr>
            </w:pPr>
            <w:r>
              <w:rPr>
                <w:sz w:val="22"/>
                <w:szCs w:val="22"/>
                <w:lang w:val="pt-BR"/>
              </w:rPr>
              <w:t>- Đảng ủy, HĐND các xã, phường;</w:t>
            </w:r>
          </w:p>
          <w:p w14:paraId="1E46BF25">
            <w:pPr>
              <w:spacing w:after="0"/>
              <w:jc w:val="left"/>
              <w:rPr>
                <w:sz w:val="22"/>
                <w:szCs w:val="22"/>
                <w:lang w:val="pt-BR"/>
              </w:rPr>
            </w:pPr>
            <w:r>
              <w:rPr>
                <w:sz w:val="22"/>
                <w:szCs w:val="22"/>
                <w:lang w:val="pt-BR"/>
              </w:rPr>
              <w:t>- Cổng Thông tin điện tử tỉnh;</w:t>
            </w:r>
          </w:p>
          <w:p w14:paraId="34ECBE44">
            <w:pPr>
              <w:spacing w:after="0"/>
              <w:jc w:val="left"/>
              <w:rPr>
                <w:b/>
                <w:bCs/>
                <w:i/>
                <w:iCs/>
                <w:sz w:val="22"/>
                <w:szCs w:val="22"/>
                <w:u w:val="single"/>
                <w:lang w:val="sv-SE"/>
              </w:rPr>
            </w:pPr>
            <w:r>
              <w:rPr>
                <w:sz w:val="22"/>
                <w:szCs w:val="22"/>
                <w:lang w:val="pt-BR"/>
              </w:rPr>
              <w:t>- Báo và Phát thanh, truyền hình Hà Tĩnh;</w:t>
            </w:r>
            <w:r>
              <w:rPr>
                <w:sz w:val="22"/>
                <w:szCs w:val="22"/>
                <w:lang w:val="pt-BR"/>
              </w:rPr>
              <w:br w:type="textWrapping"/>
            </w:r>
            <w:r>
              <w:rPr>
                <w:sz w:val="22"/>
                <w:szCs w:val="22"/>
                <w:lang w:val="pt-BR"/>
              </w:rPr>
              <w:t>- Trung tâm TT&amp;XTHTĐT tỉnh;</w:t>
            </w:r>
            <w:r>
              <w:rPr>
                <w:sz w:val="22"/>
                <w:szCs w:val="22"/>
                <w:lang w:val="pt-BR"/>
              </w:rPr>
              <w:br w:type="textWrapping"/>
            </w:r>
            <w:r>
              <w:rPr>
                <w:sz w:val="22"/>
                <w:szCs w:val="22"/>
                <w:lang w:val="pt-BR"/>
              </w:rPr>
              <w:t>- Lưu: VT, NL.</w:t>
            </w:r>
          </w:p>
        </w:tc>
        <w:tc>
          <w:tcPr>
            <w:tcW w:w="4394" w:type="dxa"/>
          </w:tcPr>
          <w:p w14:paraId="794C151C">
            <w:pPr>
              <w:spacing w:after="0"/>
              <w:jc w:val="center"/>
              <w:rPr>
                <w:b/>
                <w:bCs/>
                <w:lang w:val="sv-SE"/>
              </w:rPr>
            </w:pPr>
            <w:r>
              <w:rPr>
                <w:b/>
                <w:bCs/>
                <w:lang w:val="sv-SE"/>
              </w:rPr>
              <w:t>CHỦ TỊCH</w:t>
            </w:r>
          </w:p>
          <w:p w14:paraId="46288DA3">
            <w:pPr>
              <w:spacing w:after="0"/>
              <w:jc w:val="center"/>
              <w:rPr>
                <w:b/>
                <w:bCs/>
                <w:lang w:val="sv-SE"/>
              </w:rPr>
            </w:pPr>
          </w:p>
          <w:p w14:paraId="1CCE7F62">
            <w:pPr>
              <w:spacing w:after="0"/>
              <w:jc w:val="center"/>
              <w:rPr>
                <w:b/>
                <w:bCs/>
                <w:lang w:val="sv-SE"/>
              </w:rPr>
            </w:pPr>
          </w:p>
          <w:p w14:paraId="38F98BEC">
            <w:pPr>
              <w:spacing w:after="0"/>
              <w:jc w:val="center"/>
              <w:rPr>
                <w:b/>
                <w:bCs/>
                <w:lang w:val="sv-SE"/>
              </w:rPr>
            </w:pPr>
          </w:p>
          <w:p w14:paraId="5879B4D9">
            <w:pPr>
              <w:spacing w:after="0"/>
              <w:jc w:val="center"/>
              <w:rPr>
                <w:b/>
                <w:bCs/>
                <w:lang w:val="sv-SE"/>
              </w:rPr>
            </w:pPr>
          </w:p>
          <w:p w14:paraId="501BDA0C">
            <w:pPr>
              <w:spacing w:after="0"/>
              <w:jc w:val="center"/>
              <w:rPr>
                <w:b/>
                <w:bCs/>
                <w:lang w:val="sv-SE"/>
              </w:rPr>
            </w:pPr>
          </w:p>
          <w:p w14:paraId="4A75AC77">
            <w:pPr>
              <w:spacing w:after="0"/>
              <w:jc w:val="center"/>
              <w:rPr>
                <w:b/>
                <w:bCs/>
                <w:lang w:val="sv-SE"/>
              </w:rPr>
            </w:pPr>
          </w:p>
          <w:p w14:paraId="238F090D">
            <w:pPr>
              <w:spacing w:after="0"/>
              <w:jc w:val="center"/>
              <w:rPr>
                <w:b/>
                <w:lang w:val="sv-SE"/>
              </w:rPr>
            </w:pPr>
          </w:p>
        </w:tc>
      </w:tr>
    </w:tbl>
    <w:p w14:paraId="1A4B7A3D">
      <w:pPr>
        <w:rPr>
          <w:lang w:val="vi-VN"/>
        </w:rPr>
      </w:pPr>
    </w:p>
    <w:sectPr>
      <w:headerReference r:id="rId5" w:type="default"/>
      <w:endnotePr>
        <w:numFmt w:val="decimal"/>
      </w:endnotePr>
      <w:pgSz w:w="11907" w:h="16840"/>
      <w:pgMar w:top="1134" w:right="1134" w:bottom="1134" w:left="1701" w:header="567" w:footer="567" w:gutter="0"/>
      <w:cols w:space="720"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Aptos">
    <w:altName w:val="Segoe UI"/>
    <w:panose1 w:val="00000000000000000000"/>
    <w:charset w:val="86"/>
    <w:family w:val="swiss"/>
    <w:pitch w:val="default"/>
    <w:sig w:usb0="00000000" w:usb1="00000000" w:usb2="00000000" w:usb3="00000000" w:csb0="0000019F" w:csb1="00000000"/>
  </w:font>
  <w:font w:name="Aptos Display">
    <w:altName w:val="Segoe UI Variable Display"/>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BDBE0">
    <w:pPr>
      <w:pStyle w:val="14"/>
      <w:jc w:val="center"/>
    </w:pPr>
    <w:r>
      <w:fldChar w:fldCharType="begin"/>
    </w:r>
    <w:r>
      <w:instrText xml:space="preserve"> PAGE   \* MERGEFORMAT </w:instrText>
    </w:r>
    <w:r>
      <w:fldChar w:fldCharType="separate"/>
    </w:r>
    <w:r>
      <w:t>7</w:t>
    </w:r>
    <w:r>
      <w:fldChar w:fldCharType="end"/>
    </w:r>
  </w:p>
  <w:p w14:paraId="5A3F1244">
    <w:pPr>
      <w:pStyle w:val="1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cumentProtection w:enforcement="0"/>
  <w:defaultTabStop w:val="720"/>
  <w:drawingGridHorizontalSpacing w:val="140"/>
  <w:drawingGridVerticalSpacing w:val="381"/>
  <w:displayHorizontalDrawingGridEvery w:val="2"/>
  <w:characterSpacingControl w:val="doNotCompress"/>
  <w:footnotePr>
    <w:footnote w:id="0"/>
    <w:footnote w:id="1"/>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AD4"/>
    <w:rsid w:val="00000124"/>
    <w:rsid w:val="00026341"/>
    <w:rsid w:val="00046FED"/>
    <w:rsid w:val="00067664"/>
    <w:rsid w:val="0008289F"/>
    <w:rsid w:val="000A4DDF"/>
    <w:rsid w:val="000C2BC9"/>
    <w:rsid w:val="000F1A82"/>
    <w:rsid w:val="000F3C7E"/>
    <w:rsid w:val="00113D46"/>
    <w:rsid w:val="00150EE1"/>
    <w:rsid w:val="00171846"/>
    <w:rsid w:val="00176890"/>
    <w:rsid w:val="00184FDE"/>
    <w:rsid w:val="001B5161"/>
    <w:rsid w:val="001C1CE7"/>
    <w:rsid w:val="001E0C69"/>
    <w:rsid w:val="001F56F0"/>
    <w:rsid w:val="00287BC3"/>
    <w:rsid w:val="002B3D64"/>
    <w:rsid w:val="00311160"/>
    <w:rsid w:val="00333533"/>
    <w:rsid w:val="00347F50"/>
    <w:rsid w:val="003835B4"/>
    <w:rsid w:val="003C484E"/>
    <w:rsid w:val="003D7792"/>
    <w:rsid w:val="003E3DA8"/>
    <w:rsid w:val="00432068"/>
    <w:rsid w:val="00437248"/>
    <w:rsid w:val="00454A21"/>
    <w:rsid w:val="004C6407"/>
    <w:rsid w:val="004E5081"/>
    <w:rsid w:val="004F301A"/>
    <w:rsid w:val="005348F5"/>
    <w:rsid w:val="00580644"/>
    <w:rsid w:val="005A43B6"/>
    <w:rsid w:val="005D4567"/>
    <w:rsid w:val="005F5747"/>
    <w:rsid w:val="005F67E6"/>
    <w:rsid w:val="005F6AD4"/>
    <w:rsid w:val="006634CC"/>
    <w:rsid w:val="006B65F6"/>
    <w:rsid w:val="006D67D0"/>
    <w:rsid w:val="00724623"/>
    <w:rsid w:val="00764D5C"/>
    <w:rsid w:val="0076546E"/>
    <w:rsid w:val="00772F65"/>
    <w:rsid w:val="0078033C"/>
    <w:rsid w:val="00785433"/>
    <w:rsid w:val="007A0D85"/>
    <w:rsid w:val="007C0891"/>
    <w:rsid w:val="007F11CA"/>
    <w:rsid w:val="008023C5"/>
    <w:rsid w:val="00846920"/>
    <w:rsid w:val="00865D78"/>
    <w:rsid w:val="008854E4"/>
    <w:rsid w:val="008B2347"/>
    <w:rsid w:val="008C3252"/>
    <w:rsid w:val="008D4869"/>
    <w:rsid w:val="00902BB9"/>
    <w:rsid w:val="009248EF"/>
    <w:rsid w:val="00951ECA"/>
    <w:rsid w:val="00952DCF"/>
    <w:rsid w:val="009960B4"/>
    <w:rsid w:val="009B2692"/>
    <w:rsid w:val="009C7216"/>
    <w:rsid w:val="009D2A8C"/>
    <w:rsid w:val="00A00A6D"/>
    <w:rsid w:val="00A12D84"/>
    <w:rsid w:val="00A2398D"/>
    <w:rsid w:val="00A26787"/>
    <w:rsid w:val="00A3088E"/>
    <w:rsid w:val="00A35E06"/>
    <w:rsid w:val="00A459A0"/>
    <w:rsid w:val="00A60563"/>
    <w:rsid w:val="00A7526C"/>
    <w:rsid w:val="00A81115"/>
    <w:rsid w:val="00A81813"/>
    <w:rsid w:val="00A902E3"/>
    <w:rsid w:val="00A918BB"/>
    <w:rsid w:val="00A944E2"/>
    <w:rsid w:val="00AC6C69"/>
    <w:rsid w:val="00B4337B"/>
    <w:rsid w:val="00B46EA3"/>
    <w:rsid w:val="00B47479"/>
    <w:rsid w:val="00B60986"/>
    <w:rsid w:val="00B86658"/>
    <w:rsid w:val="00BA58F8"/>
    <w:rsid w:val="00C25D64"/>
    <w:rsid w:val="00C31C3E"/>
    <w:rsid w:val="00C35EC9"/>
    <w:rsid w:val="00C7649F"/>
    <w:rsid w:val="00C90442"/>
    <w:rsid w:val="00CA20E7"/>
    <w:rsid w:val="00CC5F0F"/>
    <w:rsid w:val="00CF2500"/>
    <w:rsid w:val="00D24845"/>
    <w:rsid w:val="00D310E6"/>
    <w:rsid w:val="00D408E6"/>
    <w:rsid w:val="00D44AB3"/>
    <w:rsid w:val="00D4632B"/>
    <w:rsid w:val="00D97BF4"/>
    <w:rsid w:val="00DB7790"/>
    <w:rsid w:val="00DC2143"/>
    <w:rsid w:val="00DE7571"/>
    <w:rsid w:val="00DF2298"/>
    <w:rsid w:val="00E173F2"/>
    <w:rsid w:val="00E17A47"/>
    <w:rsid w:val="00E511FA"/>
    <w:rsid w:val="00E559EB"/>
    <w:rsid w:val="00E73113"/>
    <w:rsid w:val="00E92962"/>
    <w:rsid w:val="00EA3D8F"/>
    <w:rsid w:val="00F50FFE"/>
    <w:rsid w:val="00F86F44"/>
    <w:rsid w:val="00F96401"/>
    <w:rsid w:val="00FA4B5F"/>
    <w:rsid w:val="08F05A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40" w:lineRule="auto"/>
      <w:jc w:val="both"/>
    </w:pPr>
    <w:rPr>
      <w:rFonts w:ascii="Times New Roman" w:hAnsi="Times New Roman" w:cs="Times New Roman" w:eastAsiaTheme="minorHAnsi"/>
      <w:sz w:val="28"/>
      <w:szCs w:val="28"/>
      <w:lang w:val="en-US" w:eastAsia="en-US" w:bidi="ar-SA"/>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asciiTheme="minorHAnsi" w:hAnsiTheme="minorHAnsi" w:eastAsiaTheme="majorEastAsia" w:cstheme="majorBidi"/>
      <w:color w:val="104862" w:themeColor="accent1" w:themeShade="BF"/>
    </w:rPr>
  </w:style>
  <w:style w:type="paragraph" w:styleId="5">
    <w:name w:val="heading 4"/>
    <w:basedOn w:val="1"/>
    <w:next w:val="1"/>
    <w:link w:val="21"/>
    <w:semiHidden/>
    <w:unhideWhenUsed/>
    <w:qFormat/>
    <w:uiPriority w:val="9"/>
    <w:pPr>
      <w:keepNext/>
      <w:keepLines/>
      <w:spacing w:before="80" w:after="40"/>
      <w:outlineLvl w:val="3"/>
    </w:pPr>
    <w:rPr>
      <w:rFonts w:asciiTheme="minorHAnsi" w:hAnsiTheme="minorHAnsi" w:eastAsiaTheme="majorEastAsia" w:cstheme="majorBidi"/>
      <w:i/>
      <w:iCs/>
      <w:color w:val="104862"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asciiTheme="minorHAnsi" w:hAnsiTheme="minorHAnsi" w:eastAsiaTheme="majorEastAsia" w:cstheme="majorBidi"/>
      <w:color w:val="104862" w:themeColor="accent1" w:themeShade="BF"/>
    </w:rPr>
  </w:style>
  <w:style w:type="paragraph" w:styleId="7">
    <w:name w:val="heading 6"/>
    <w:basedOn w:val="1"/>
    <w:next w:val="1"/>
    <w:link w:val="23"/>
    <w:semiHidden/>
    <w:unhideWhenUsed/>
    <w:qFormat/>
    <w:uiPriority w:val="9"/>
    <w:pPr>
      <w:keepNext/>
      <w:keepLines/>
      <w:spacing w:before="40" w:after="0"/>
      <w:outlineLvl w:val="5"/>
    </w:pPr>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after="0"/>
      <w:outlineLvl w:val="6"/>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footer"/>
    <w:basedOn w:val="1"/>
    <w:link w:val="37"/>
    <w:unhideWhenUsed/>
    <w:qFormat/>
    <w:uiPriority w:val="99"/>
    <w:pPr>
      <w:tabs>
        <w:tab w:val="center" w:pos="4680"/>
        <w:tab w:val="right" w:pos="9360"/>
      </w:tabs>
      <w:spacing w:after="0"/>
    </w:pPr>
  </w:style>
  <w:style w:type="paragraph" w:styleId="14">
    <w:name w:val="header"/>
    <w:basedOn w:val="1"/>
    <w:link w:val="36"/>
    <w:unhideWhenUsed/>
    <w:qFormat/>
    <w:uiPriority w:val="99"/>
    <w:pPr>
      <w:tabs>
        <w:tab w:val="center" w:pos="4680"/>
        <w:tab w:val="right" w:pos="9360"/>
      </w:tabs>
      <w:spacing w:after="0"/>
    </w:pPr>
  </w:style>
  <w:style w:type="paragraph" w:styleId="15">
    <w:name w:val="Subtitle"/>
    <w:basedOn w:val="1"/>
    <w:next w:val="1"/>
    <w:link w:val="28"/>
    <w:qFormat/>
    <w:uiPriority w:val="11"/>
    <w:pPr>
      <w:spacing w:after="160"/>
    </w:pPr>
    <w:rPr>
      <w:rFonts w:asciiTheme="minorHAnsi" w:hAnsiTheme="minorHAnsi" w:eastAsiaTheme="majorEastAsia" w:cstheme="majorBidi"/>
      <w:color w:val="595959" w:themeColor="text1" w:themeTint="A6"/>
      <w:spacing w:val="15"/>
      <w14:textFill>
        <w14:solidFill>
          <w14:schemeClr w14:val="tx1">
            <w14:lumMod w14:val="65000"/>
            <w14:lumOff w14:val="35000"/>
          </w14:schemeClr>
        </w14:solidFill>
      </w14:textFill>
    </w:rPr>
  </w:style>
  <w:style w:type="table" w:styleId="16">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Title"/>
    <w:basedOn w:val="1"/>
    <w:next w:val="1"/>
    <w:link w:val="27"/>
    <w:qFormat/>
    <w:uiPriority w:val="10"/>
    <w:pPr>
      <w:spacing w:after="80"/>
      <w:contextualSpacing/>
    </w:pPr>
    <w:rPr>
      <w:rFonts w:asciiTheme="majorHAnsi" w:hAnsiTheme="majorHAnsi" w:eastAsiaTheme="majorEastAsia" w:cstheme="majorBidi"/>
      <w:spacing w:val="-10"/>
      <w:kern w:val="28"/>
      <w:sz w:val="56"/>
      <w:szCs w:val="56"/>
    </w:rPr>
  </w:style>
  <w:style w:type="character" w:customStyle="1" w:styleId="18">
    <w:name w:val="Heading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19">
    <w:name w:val="Heading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20">
    <w:name w:val="Heading 3 Char"/>
    <w:basedOn w:val="11"/>
    <w:link w:val="4"/>
    <w:semiHidden/>
    <w:uiPriority w:val="9"/>
    <w:rPr>
      <w:rFonts w:asciiTheme="minorHAnsi" w:hAnsiTheme="minorHAnsi" w:eastAsiaTheme="majorEastAsia" w:cstheme="majorBidi"/>
      <w:color w:val="104862" w:themeColor="accent1" w:themeShade="BF"/>
    </w:rPr>
  </w:style>
  <w:style w:type="character" w:customStyle="1" w:styleId="21">
    <w:name w:val="Heading 4 Char"/>
    <w:basedOn w:val="11"/>
    <w:link w:val="5"/>
    <w:semiHidden/>
    <w:uiPriority w:val="9"/>
    <w:rPr>
      <w:rFonts w:asciiTheme="minorHAnsi" w:hAnsiTheme="minorHAnsi" w:eastAsiaTheme="majorEastAsia" w:cstheme="majorBidi"/>
      <w:i/>
      <w:iCs/>
      <w:color w:val="104862" w:themeColor="accent1" w:themeShade="BF"/>
    </w:rPr>
  </w:style>
  <w:style w:type="character" w:customStyle="1" w:styleId="22">
    <w:name w:val="Heading 5 Char"/>
    <w:basedOn w:val="11"/>
    <w:link w:val="6"/>
    <w:semiHidden/>
    <w:uiPriority w:val="9"/>
    <w:rPr>
      <w:rFonts w:asciiTheme="minorHAnsi" w:hAnsiTheme="minorHAnsi" w:eastAsiaTheme="majorEastAsia" w:cstheme="majorBidi"/>
      <w:color w:val="104862" w:themeColor="accent1" w:themeShade="BF"/>
    </w:rPr>
  </w:style>
  <w:style w:type="character" w:customStyle="1" w:styleId="23">
    <w:name w:val="Heading 6 Char"/>
    <w:basedOn w:val="11"/>
    <w:link w:val="7"/>
    <w:semiHidden/>
    <w:uiPriority w:val="9"/>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Heading 7 Char"/>
    <w:basedOn w:val="11"/>
    <w:link w:val="8"/>
    <w:semiHidden/>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Heading 8 Char"/>
    <w:basedOn w:val="11"/>
    <w:link w:val="9"/>
    <w:semiHidden/>
    <w:uiPriority w:val="9"/>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Heading 9 Char"/>
    <w:basedOn w:val="11"/>
    <w:link w:val="10"/>
    <w:semiHidden/>
    <w:uiPriority w:val="9"/>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Title Char"/>
    <w:basedOn w:val="11"/>
    <w:link w:val="17"/>
    <w:uiPriority w:val="10"/>
    <w:rPr>
      <w:rFonts w:asciiTheme="majorHAnsi" w:hAnsiTheme="majorHAnsi" w:eastAsiaTheme="majorEastAsia" w:cstheme="majorBidi"/>
      <w:spacing w:val="-10"/>
      <w:kern w:val="28"/>
      <w:sz w:val="56"/>
      <w:szCs w:val="56"/>
    </w:rPr>
  </w:style>
  <w:style w:type="character" w:customStyle="1" w:styleId="28">
    <w:name w:val="Subtitle Char"/>
    <w:basedOn w:val="11"/>
    <w:link w:val="15"/>
    <w:uiPriority w:val="11"/>
    <w:rPr>
      <w:rFonts w:asciiTheme="minorHAnsi" w:hAnsiTheme="minorHAnsi" w:eastAsiaTheme="majorEastAsia" w:cstheme="majorBidi"/>
      <w:color w:val="595959" w:themeColor="text1" w:themeTint="A6"/>
      <w:spacing w:val="15"/>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Quote Char"/>
    <w:basedOn w:val="11"/>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1"/>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Intense Quote Char"/>
    <w:basedOn w:val="11"/>
    <w:link w:val="33"/>
    <w:qFormat/>
    <w:uiPriority w:val="30"/>
    <w:rPr>
      <w:i/>
      <w:iCs/>
      <w:color w:val="104862" w:themeColor="accent1" w:themeShade="BF"/>
    </w:rPr>
  </w:style>
  <w:style w:type="character" w:customStyle="1" w:styleId="35">
    <w:name w:val="Intense Reference"/>
    <w:basedOn w:val="11"/>
    <w:qFormat/>
    <w:uiPriority w:val="32"/>
    <w:rPr>
      <w:b/>
      <w:bCs/>
      <w:smallCaps/>
      <w:color w:val="104862" w:themeColor="accent1" w:themeShade="BF"/>
      <w:spacing w:val="5"/>
    </w:rPr>
  </w:style>
  <w:style w:type="character" w:customStyle="1" w:styleId="36">
    <w:name w:val="Header Char"/>
    <w:basedOn w:val="11"/>
    <w:link w:val="14"/>
    <w:qFormat/>
    <w:uiPriority w:val="99"/>
  </w:style>
  <w:style w:type="character" w:customStyle="1" w:styleId="37">
    <w:name w:val="Footer Char"/>
    <w:basedOn w:val="11"/>
    <w:link w:val="13"/>
    <w:qFormat/>
    <w:uiPriority w:val="99"/>
  </w:style>
  <w:style w:type="paragraph" w:customStyle="1" w:styleId="38">
    <w:name w:val="Revision"/>
    <w:hidden/>
    <w:semiHidden/>
    <w:qFormat/>
    <w:uiPriority w:val="99"/>
    <w:pPr>
      <w:spacing w:after="0" w:line="240" w:lineRule="auto"/>
    </w:pPr>
    <w:rPr>
      <w:rFonts w:ascii="Times New Roman" w:hAnsi="Times New Roman" w:cs="Times New Roman" w:eastAsiaTheme="minorHAnsi"/>
      <w:sz w:val="28"/>
      <w:szCs w:val="28"/>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1024</Words>
  <Characters>3805</Characters>
  <Lines>34</Lines>
  <Paragraphs>9</Paragraphs>
  <TotalTime>244</TotalTime>
  <ScaleCrop>false</ScaleCrop>
  <LinksUpToDate>false</LinksUpToDate>
  <CharactersWithSpaces>4813</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2026-06-29T15:56:00Z</dcterms:created>
  <dc:creator>Toàn Lê Khánh</dc:creator>
  <cp:lastModifiedBy>user</cp:lastModifiedBy>
  <dcterms:modified xsi:type="dcterms:W3CDTF">2026-10-19T07:26:31Z</dcterms:modified>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D81380A58EE44BFA8FA7A984B739E986_13</vt:lpwstr>
  </property>
</Properties>
</file>