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5669"/>
        <w:gridCol w:w="9128"/>
      </w:tblGrid>
      <w:tr w:rsidR="007860DD" w:rsidRPr="00D703B5" w:rsidTr="001716E2">
        <w:trPr>
          <w:trHeight w:val="851"/>
          <w:jc w:val="center"/>
        </w:trPr>
        <w:tc>
          <w:tcPr>
            <w:tcW w:w="5669" w:type="dxa"/>
            <w:tcBorders>
              <w:top w:val="nil"/>
              <w:left w:val="nil"/>
              <w:bottom w:val="nil"/>
              <w:right w:val="nil"/>
            </w:tcBorders>
            <w:tcMar>
              <w:top w:w="0" w:type="dxa"/>
              <w:left w:w="0" w:type="dxa"/>
              <w:bottom w:w="0" w:type="dxa"/>
              <w:right w:w="0" w:type="dxa"/>
            </w:tcMar>
          </w:tcPr>
          <w:p w:rsidR="007860DD" w:rsidRPr="00D703B5" w:rsidRDefault="007860DD" w:rsidP="00744C54">
            <w:pPr>
              <w:spacing w:after="120" w:line="264" w:lineRule="auto"/>
              <w:jc w:val="center"/>
              <w:rPr>
                <w:rFonts w:cs="Times New Roman"/>
                <w:sz w:val="26"/>
                <w:szCs w:val="26"/>
              </w:rPr>
            </w:pPr>
            <w:r w:rsidRPr="00D703B5">
              <w:rPr>
                <w:rFonts w:cs="Times New Roman"/>
                <w:noProof/>
                <w:sz w:val="26"/>
                <w:szCs w:val="26"/>
              </w:rPr>
              <mc:AlternateContent>
                <mc:Choice Requires="wps">
                  <w:drawing>
                    <wp:anchor distT="0" distB="0" distL="114300" distR="114300" simplePos="0" relativeHeight="251661824" behindDoc="0" locked="0" layoutInCell="1" allowOverlap="1" wp14:anchorId="72231DFE" wp14:editId="4842810D">
                      <wp:simplePos x="0" y="0"/>
                      <wp:positionH relativeFrom="column">
                        <wp:posOffset>1428750</wp:posOffset>
                      </wp:positionH>
                      <wp:positionV relativeFrom="paragraph">
                        <wp:posOffset>464185</wp:posOffset>
                      </wp:positionV>
                      <wp:extent cx="714375" cy="0"/>
                      <wp:effectExtent l="38100" t="38100" r="66675" b="95250"/>
                      <wp:wrapNone/>
                      <wp:docPr id="1" name="Straight Connector 1"/>
                      <wp:cNvGraphicFramePr/>
                      <a:graphic xmlns:a="http://schemas.openxmlformats.org/drawingml/2006/main">
                        <a:graphicData uri="http://schemas.microsoft.com/office/word/2010/wordprocessingShape">
                          <wps:wsp>
                            <wps:cNvCnPr/>
                            <wps:spPr>
                              <a:xfrm>
                                <a:off x="0" y="0"/>
                                <a:ext cx="714375" cy="0"/>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996B761"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12.5pt,36.55pt" to="168.7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" strokecolor="black [3213]" strokeweight=".25pt">
                      <v:shadow on="t" color="black" opacity="24903f" origin=",.5" offset="0,.55556mm"/>
                    </v:line>
                  </w:pict>
                </mc:Fallback>
              </mc:AlternateContent>
            </w:r>
            <w:r w:rsidRPr="00D703B5">
              <w:rPr>
                <w:rFonts w:cs="Times New Roman"/>
                <w:sz w:val="26"/>
                <w:szCs w:val="26"/>
              </w:rPr>
              <w:t>UBND TỈNH HÀ TĨNH</w:t>
            </w:r>
            <w:r w:rsidRPr="00D703B5">
              <w:rPr>
                <w:rFonts w:cs="Times New Roman"/>
                <w:b/>
                <w:sz w:val="26"/>
                <w:szCs w:val="26"/>
              </w:rPr>
              <w:br/>
              <w:t>SỞ XÂY DỰNG</w:t>
            </w:r>
          </w:p>
        </w:tc>
        <w:tc>
          <w:tcPr>
            <w:tcW w:w="9128" w:type="dxa"/>
            <w:tcBorders>
              <w:top w:val="nil"/>
              <w:left w:val="nil"/>
              <w:bottom w:val="nil"/>
              <w:right w:val="nil"/>
            </w:tcBorders>
            <w:tcMar>
              <w:top w:w="0" w:type="dxa"/>
              <w:left w:w="0" w:type="dxa"/>
              <w:bottom w:w="0" w:type="dxa"/>
              <w:right w:w="0" w:type="dxa"/>
            </w:tcMar>
          </w:tcPr>
          <w:p w:rsidR="007860DD" w:rsidRPr="00D703B5" w:rsidRDefault="007860DD" w:rsidP="00744C54">
            <w:pPr>
              <w:spacing w:after="120" w:line="264" w:lineRule="auto"/>
              <w:jc w:val="center"/>
              <w:rPr>
                <w:rFonts w:cs="Times New Roman"/>
                <w:sz w:val="26"/>
                <w:szCs w:val="26"/>
              </w:rPr>
            </w:pPr>
            <w:r w:rsidRPr="00D703B5">
              <w:rPr>
                <w:rFonts w:cs="Times New Roman"/>
                <w:noProof/>
                <w:sz w:val="26"/>
                <w:szCs w:val="26"/>
              </w:rPr>
              <mc:AlternateContent>
                <mc:Choice Requires="wps">
                  <w:drawing>
                    <wp:anchor distT="0" distB="0" distL="114300" distR="114300" simplePos="0" relativeHeight="251659264" behindDoc="0" locked="0" layoutInCell="1" allowOverlap="1" wp14:anchorId="3A5D993A" wp14:editId="33CC272E">
                      <wp:simplePos x="0" y="0"/>
                      <wp:positionH relativeFrom="column">
                        <wp:posOffset>2419985</wp:posOffset>
                      </wp:positionH>
                      <wp:positionV relativeFrom="paragraph">
                        <wp:posOffset>454660</wp:posOffset>
                      </wp:positionV>
                      <wp:extent cx="108585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a:off x="0" y="0"/>
                                <a:ext cx="1085850" cy="0"/>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B30E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55pt,35.8pt" to="276.0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" strokecolor="black [3213]" strokeweight=".25pt">
                      <v:shadow on="t" color="black" opacity="24903f" origin=",.5" offset="0,.55556mm"/>
                    </v:line>
                  </w:pict>
                </mc:Fallback>
              </mc:AlternateContent>
            </w:r>
            <w:r w:rsidRPr="00D703B5">
              <w:rPr>
                <w:rFonts w:cs="Times New Roman"/>
                <w:b/>
                <w:sz w:val="26"/>
                <w:szCs w:val="26"/>
              </w:rPr>
              <w:t>CỘNG HÒA XÃ HỘI CHỦ NGHĨA VIỆT NAM</w:t>
            </w:r>
            <w:r w:rsidRPr="00D703B5">
              <w:rPr>
                <w:rFonts w:cs="Times New Roman"/>
                <w:b/>
                <w:sz w:val="26"/>
                <w:szCs w:val="26"/>
              </w:rPr>
              <w:br/>
              <w:t>Độc lập - Tự do - Hạnh phúc</w:t>
            </w:r>
          </w:p>
        </w:tc>
      </w:tr>
    </w:tbl>
    <w:p w:rsidR="007860DD" w:rsidRPr="00D703B5" w:rsidRDefault="007860DD" w:rsidP="00744C54">
      <w:pPr>
        <w:spacing w:after="120" w:line="264" w:lineRule="auto"/>
        <w:ind w:right="1077"/>
        <w:jc w:val="center"/>
        <w:rPr>
          <w:rFonts w:cs="Times New Roman"/>
          <w:sz w:val="26"/>
          <w:szCs w:val="26"/>
        </w:rPr>
      </w:pPr>
      <w:r w:rsidRPr="00D703B5">
        <w:rPr>
          <w:rFonts w:cs="Times New Roman"/>
          <w:i/>
          <w:sz w:val="26"/>
          <w:szCs w:val="26"/>
        </w:rPr>
        <w:t xml:space="preserve">                                                                                                            Hà Tĩnh, ngày     tháng 10 năm 2026</w:t>
      </w:r>
    </w:p>
    <w:p w:rsidR="007860DD" w:rsidRPr="00D703B5" w:rsidRDefault="007860DD" w:rsidP="00744C54">
      <w:pPr>
        <w:spacing w:after="120" w:line="264" w:lineRule="auto"/>
        <w:jc w:val="center"/>
        <w:rPr>
          <w:rFonts w:cs="Times New Roman"/>
          <w:b/>
          <w:sz w:val="26"/>
          <w:szCs w:val="26"/>
        </w:rPr>
      </w:pPr>
    </w:p>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BẢN SO SÁNH, THUYẾT MINH</w:t>
      </w:r>
    </w:p>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QUYẾT ĐỊNH BAN HÀNH QUY ĐỊNH QUY TRÌNH BẢO TRÌ MẪU CHO CÔNG TRÌNH ĐƯỢC ĐẦU TƯ XÂY DỰNG THEO CƠ CHẾ TỔ CHỨC THỰC HIỆN DỰ ÁN QUY MÔ NHỎ, TÍNH CHẤT KỸ THUẬT ĐƠN GIẢN, CÓ SỰ THAM GIA CỦA NGƯỜI DÂN THUỘC CHƯƠNG TRÌNH MỤC TIÊU QUỐC GIA GIAI ĐOẠN 2026-2030 TRÊN ĐỊA BÀN TỈNH HÀ TĨNH</w:t>
      </w:r>
    </w:p>
    <w:p w:rsidR="007860DD" w:rsidRPr="00D703B5" w:rsidRDefault="007860DD" w:rsidP="00744C54">
      <w:pPr>
        <w:spacing w:after="120" w:line="264" w:lineRule="auto"/>
        <w:ind w:firstLine="720"/>
        <w:rPr>
          <w:rFonts w:cs="Times New Roman"/>
          <w:b/>
          <w:sz w:val="26"/>
          <w:szCs w:val="26"/>
        </w:rPr>
      </w:pPr>
    </w:p>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I. DỰ THẢO QUYẾT ĐỊNH</w:t>
      </w:r>
    </w:p>
    <w:tbl>
      <w:tblPr>
        <w:tblStyle w:val="TableGrid"/>
        <w:tblW w:w="0" w:type="auto"/>
        <w:jc w:val="center"/>
        <w:tblLayout w:type="fixed"/>
        <w:tblLook w:val="04A0" w:firstRow="1" w:lastRow="0" w:firstColumn="1" w:lastColumn="0" w:noHBand="0" w:noVBand="1"/>
      </w:tblPr>
      <w:tblGrid>
        <w:gridCol w:w="4246"/>
        <w:gridCol w:w="3870"/>
        <w:gridCol w:w="4435"/>
      </w:tblGrid>
      <w:tr w:rsidR="006D2EF6" w:rsidRPr="00D703B5" w:rsidTr="007860DD">
        <w:trPr>
          <w:tblHeader/>
          <w:jc w:val="center"/>
        </w:trPr>
        <w:tc>
          <w:tcPr>
            <w:tcW w:w="4246"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870"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435"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7860DD">
        <w:trPr>
          <w:jc w:val="center"/>
        </w:trPr>
        <w:tc>
          <w:tcPr>
            <w:tcW w:w="424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Điều 22 Nghị định số 358/2025/NĐ-CP giao UBND cấp tỉnh ban hành quy trình bảo trì mẫu đối với công trình đầu tư theo cơ chế dự án quy mô nhỏ, tính chất kỹ thuật đơn giản, có sự tham gia của người dân. Điểm c khoản 2 Điều 56 xác định trách nhiệm UBND cấp tỉnh quy định nội dung này.</w:t>
            </w:r>
          </w:p>
        </w:tc>
        <w:tc>
          <w:tcPr>
            <w:tcW w:w="387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Tên dự thảo: “Quyết định ban hành Quy định quy trình bảo trì mẫu cho công trình được đầu tư xây dựng theo cơ chế tổ chức thực hiện dự án quy mô nhỏ, tính chất kỹ thuật đơn giản, có sự tham gia của người dân thuộc Chương trình mục tiêu quốc gia giai đoạn 2026-2030 trên địa bàn tỉnh Hà Tĩnh”.</w:t>
            </w:r>
          </w:p>
        </w:tc>
        <w:tc>
          <w:tcPr>
            <w:tcW w:w="443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Đây là văn bản ban hành mới, được xây dựng để thực hiện trực tiếp nhiệm vụ Chính phủ giao UBND cấp tỉnh. Hình thức Quyết định của UBND tỉnh phù hợp tính chất văn bản quy định chi tiết áp dụng chung trên địa bàn. Không phát sinh phân quyền, phân cấp mới từ tên văn bản.</w:t>
            </w:r>
          </w:p>
        </w:tc>
      </w:tr>
      <w:tr w:rsidR="006D2EF6" w:rsidRPr="00D703B5" w:rsidTr="007860DD">
        <w:trPr>
          <w:jc w:val="center"/>
        </w:trPr>
        <w:tc>
          <w:tcPr>
            <w:tcW w:w="424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Điều 62 Nghị định số 78/2025/NĐ-CP quy định căn cứ ban hành VBQPPL phải là VBQPPL có hiệu lực pháp lý </w:t>
            </w:r>
            <w:r w:rsidRPr="00D703B5">
              <w:rPr>
                <w:rFonts w:cs="Times New Roman"/>
                <w:sz w:val="26"/>
                <w:szCs w:val="26"/>
              </w:rPr>
              <w:lastRenderedPageBreak/>
              <w:t>cao hơn, quy định thẩm quyền hoặc nội dung làm cơ sở ban hành.</w:t>
            </w:r>
          </w:p>
        </w:tc>
        <w:tc>
          <w:tcPr>
            <w:tcW w:w="387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 xml:space="preserve">Dự thảo viện dẫn Luật Tổ chức chính quyền địa phương; Luật Ban hành VBQPPL; Luật Xây dựng; </w:t>
            </w:r>
            <w:r w:rsidRPr="00D703B5">
              <w:rPr>
                <w:rFonts w:cs="Times New Roman"/>
                <w:sz w:val="26"/>
                <w:szCs w:val="26"/>
              </w:rPr>
              <w:lastRenderedPageBreak/>
              <w:t>Nghị định 78/2025/NĐ-CP, Nghị định 187/2025/NĐ-CP, Nghị định 358/2025/NĐ-CP, Nghị định 207/2026/NĐ-CP, Nghị định 217/2026/NĐ-CP; Quyết định số 1579/QĐ-UBND và Quyết định số 68/2026/QĐ-UBND.</w:t>
            </w:r>
          </w:p>
        </w:tc>
        <w:tc>
          <w:tcPr>
            <w:tcW w:w="4435" w:type="dxa"/>
            <w:tcMar>
              <w:top w:w="80" w:type="dxa"/>
              <w:left w:w="80" w:type="dxa"/>
              <w:bottom w:w="80" w:type="dxa"/>
              <w:right w:w="80" w:type="dxa"/>
            </w:tcMar>
          </w:tcPr>
          <w:p w:rsidR="006D2EF6" w:rsidRPr="00D703B5" w:rsidRDefault="005C3723" w:rsidP="00744C54">
            <w:pPr>
              <w:spacing w:after="120" w:line="264" w:lineRule="auto"/>
              <w:jc w:val="both"/>
              <w:rPr>
                <w:rFonts w:cs="Times New Roman"/>
                <w:sz w:val="26"/>
                <w:szCs w:val="26"/>
              </w:rPr>
            </w:pPr>
            <w:r>
              <w:rPr>
                <w:rFonts w:cs="Times New Roman"/>
                <w:sz w:val="26"/>
                <w:szCs w:val="26"/>
              </w:rPr>
              <w:lastRenderedPageBreak/>
              <w:t>Pháp lý phù hợp quy định</w:t>
            </w:r>
          </w:p>
        </w:tc>
      </w:tr>
      <w:tr w:rsidR="006D2EF6" w:rsidRPr="00D703B5" w:rsidTr="007860DD">
        <w:trPr>
          <w:jc w:val="center"/>
        </w:trPr>
        <w:tc>
          <w:tcPr>
            <w:tcW w:w="424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Điều 22, điểm c khoản 2 Điều 56 Nghị định số 358/2025/NĐ-CP.</w:t>
            </w:r>
          </w:p>
        </w:tc>
        <w:tc>
          <w:tcPr>
            <w:tcW w:w="387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1. Ban hành kèm theo Quyết định này Quy định quy trình bảo trì mẫu cho công trình được đầu tư xây dựng theo cơ chế tổ chức thực hiện dự án quy mô nhỏ, tính chất kỹ thuật đơn giản, có sự tham gia của người dân thuộc Chương trình mục tiêu quốc gia giai đoạn 2026-2030 trên địa bàn tỉnh Hà Tĩnh.</w:t>
            </w:r>
          </w:p>
        </w:tc>
        <w:tc>
          <w:tcPr>
            <w:tcW w:w="443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1 là quy định mang tính dẫn nhập, trực tiếp thực hiện nhiệm vụ Chính phủ giao.</w:t>
            </w:r>
          </w:p>
        </w:tc>
      </w:tr>
      <w:tr w:rsidR="006D2EF6" w:rsidRPr="00D703B5" w:rsidTr="007860DD">
        <w:trPr>
          <w:jc w:val="center"/>
        </w:trPr>
        <w:tc>
          <w:tcPr>
            <w:tcW w:w="424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Luật Ban hành VBQPPL và Nghị định số 78/2025/NĐ-CP quy định về thời điểm có hiệu lực và kỹ thuật xác định hiệu lực của VBQPPL địa phương.</w:t>
            </w:r>
          </w:p>
        </w:tc>
        <w:tc>
          <w:tcPr>
            <w:tcW w:w="387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2. Quyết định này có hiệu lực thi hành kể từ ngày … tháng … năm 2026. Sau đó dự thảo có đoạn đánh số “3. Trường hợp các văn bản được viện dẫn để áp dụng tại Quyết định này được sửa đổi, bổ sung hoặc thay thế…”.</w:t>
            </w:r>
          </w:p>
        </w:tc>
        <w:tc>
          <w:tcPr>
            <w:tcW w:w="443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Thời điểm hiệu lực phải được xác định cụ thể và bảo đảm thời hạn theo Luật Ban hành VBQPPL.</w:t>
            </w:r>
          </w:p>
        </w:tc>
      </w:tr>
      <w:tr w:rsidR="006D2EF6" w:rsidRPr="00D703B5" w:rsidTr="007860DD">
        <w:trPr>
          <w:jc w:val="center"/>
        </w:trPr>
        <w:tc>
          <w:tcPr>
            <w:tcW w:w="424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Nghị định số 78/2025/NĐ-CP quy </w:t>
            </w:r>
            <w:r w:rsidRPr="00D703B5">
              <w:rPr>
                <w:rFonts w:cs="Times New Roman"/>
                <w:sz w:val="26"/>
                <w:szCs w:val="26"/>
              </w:rPr>
              <w:lastRenderedPageBreak/>
              <w:t>định phần văn bản ban hành văn bản kèm theo phải thể hiện việc tổ chức thi hành và trách nhiệm thi hành.</w:t>
            </w:r>
          </w:p>
        </w:tc>
        <w:tc>
          <w:tcPr>
            <w:tcW w:w="387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 xml:space="preserve">Điều 3. Chánh Văn phòng UBND </w:t>
            </w:r>
            <w:r w:rsidRPr="00D703B5">
              <w:rPr>
                <w:rFonts w:cs="Times New Roman"/>
                <w:sz w:val="26"/>
                <w:szCs w:val="26"/>
              </w:rPr>
              <w:lastRenderedPageBreak/>
              <w:t>tỉnh; Giám đốc Sở Xây dựng; Thủ trưởng các sở, ban, ngành; Chủ tịch UBND xã, phường và các cơ quan, tổ chức, cá nhân liên quan chịu trách nhiệm thi hành Quyết định này.</w:t>
            </w:r>
          </w:p>
        </w:tc>
        <w:tc>
          <w:tcPr>
            <w:tcW w:w="443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 xml:space="preserve">Là quy định về trách nhiệm thi hành, </w:t>
            </w:r>
            <w:r w:rsidRPr="00D703B5">
              <w:rPr>
                <w:rFonts w:cs="Times New Roman"/>
                <w:sz w:val="26"/>
                <w:szCs w:val="26"/>
              </w:rPr>
              <w:lastRenderedPageBreak/>
              <w:t>không phải phân cấp hoặc phân quyền quản lý nhà nước. Cần bảo đảm thống nhất với các chủ thể được giao trách nhiệm cụ thể tại Điều 10 của Quy định kèm theo.</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lastRenderedPageBreak/>
        <w:t>II. QUY ĐỊNH BAN HÀNH KÈM THEO</w:t>
      </w:r>
    </w:p>
    <w:tbl>
      <w:tblPr>
        <w:tblStyle w:val="TableGrid"/>
        <w:tblW w:w="12704" w:type="dxa"/>
        <w:jc w:val="center"/>
        <w:tblLayout w:type="fixed"/>
        <w:tblLook w:val="04A0" w:firstRow="1" w:lastRow="0" w:firstColumn="1" w:lastColumn="0" w:noHBand="0" w:noVBand="1"/>
      </w:tblPr>
      <w:tblGrid>
        <w:gridCol w:w="4330"/>
        <w:gridCol w:w="3827"/>
        <w:gridCol w:w="4547"/>
      </w:tblGrid>
      <w:tr w:rsidR="006D2EF6" w:rsidRPr="00D703B5" w:rsidTr="00847E14">
        <w:trPr>
          <w:tblHeader/>
          <w:jc w:val="center"/>
        </w:trPr>
        <w:tc>
          <w:tcPr>
            <w:tcW w:w="4330"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827"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547"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33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Điều 22 và điểm c khoản 2 Điều 56 Nghị định số 358/2025/NĐ-CP xác định phạm vi công trình thuộc cơ chế đặc thù mà UBND cấp tỉnh phải ban hành quy trình bảo trì mẫu.</w:t>
            </w:r>
          </w:p>
        </w:tc>
        <w:tc>
          <w:tcPr>
            <w:tcW w:w="382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1. Phạm vi điều chỉnh: Quy định này ban hành theo điểm c khoản 2 Điều 56 Nghị định 358/2025/NĐ-CP, áp dụng để quản lý vận hành và bảo trì công trình theo cơ chế dự án quy mô nhỏ, tính chất kỹ thuật đơn giản, có sự tham gia của người dân thuộc CTMTQG 2026-2030 tại Hà Tĩnh.</w:t>
            </w:r>
          </w:p>
        </w:tc>
        <w:tc>
          <w:tcPr>
            <w:tcW w:w="454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Cụ thể hóa đúng nội dung được Chính phủ giao.</w:t>
            </w:r>
          </w:p>
        </w:tc>
      </w:tr>
      <w:tr w:rsidR="006D2EF6" w:rsidRPr="00D703B5" w:rsidTr="00847E14">
        <w:trPr>
          <w:jc w:val="center"/>
        </w:trPr>
        <w:tc>
          <w:tcPr>
            <w:tcW w:w="433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17 Nghị định số 358/2025/NĐ-CP xác định tiêu chí dự án đầu tư đặc thù; khoản 2 Điều 22 xác định các chủ thể trực tiếp quản lý, lập kế hoạch và thực hiện bảo trì.</w:t>
            </w:r>
          </w:p>
        </w:tc>
        <w:tc>
          <w:tcPr>
            <w:tcW w:w="382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Điều 2. Đối tượng áp dụng: UBND cấp xã; chủ sở hữu, chủ quản lý, sử dụng công trình; phòng chuyên môn thực hiện CTMTQG; Ban QLDA cấp xã; Ban phát triển </w:t>
            </w:r>
            <w:r w:rsidRPr="00D703B5">
              <w:rPr>
                <w:rFonts w:cs="Times New Roman"/>
                <w:sz w:val="26"/>
                <w:szCs w:val="26"/>
              </w:rPr>
              <w:lastRenderedPageBreak/>
              <w:t>thôn; cộng đồng dân cư, tổ chức đoàn thể, tổ, nhóm thợ, hợp tác xã và các chủ thể liên quan.</w:t>
            </w:r>
          </w:p>
        </w:tc>
        <w:tc>
          <w:tcPr>
            <w:tcW w:w="454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Quy định nhằm bao quát đầy đủ các chủ thể tham gia quản lý vận hành và bảo trì theo cơ chế Điều 22. Không làm phát sinh đối tượng chịu thủ tục hành chính mới.</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3. Đối tượng, phương pháp và tần suất kiểm tra công trình</w:t>
      </w:r>
    </w:p>
    <w:tbl>
      <w:tblPr>
        <w:tblStyle w:val="TableGrid"/>
        <w:tblW w:w="12909" w:type="dxa"/>
        <w:jc w:val="center"/>
        <w:tblLayout w:type="fixed"/>
        <w:tblLook w:val="04A0" w:firstRow="1" w:lastRow="0" w:firstColumn="1" w:lastColumn="0" w:noHBand="0" w:noVBand="1"/>
      </w:tblPr>
      <w:tblGrid>
        <w:gridCol w:w="4404"/>
        <w:gridCol w:w="3969"/>
        <w:gridCol w:w="4536"/>
      </w:tblGrid>
      <w:tr w:rsidR="006D2EF6" w:rsidRPr="00D703B5" w:rsidTr="00847E14">
        <w:trPr>
          <w:tblHeader/>
          <w:jc w:val="center"/>
        </w:trPr>
        <w:tc>
          <w:tcPr>
            <w:tcW w:w="4404"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9"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536"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40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b khoản 1 Điều 34 Nghị định số 207/2026/NĐ-CP yêu cầu quy trình bảo trì quy định đối tượng, phương pháp và tần suất kiểm tra công trình; Điều 36 quy định kiểm tra thường xuyên, định kỳ và đột xuất.</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 Công trình dân dụng: kiểm tra tường, cửa, trần, sàn, lan can, mái, kết cấu BTCT, điện, chống sét, cấp thoát nước; chủ yếu bằng quan sát, thước, vận hành thử; tần suất trong quá trình sử dụng, hằng năm, trước mùa mưa hoặc khi có sự cố.</w:t>
            </w:r>
          </w:p>
        </w:tc>
        <w:tc>
          <w:tcPr>
            <w:tcW w:w="453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Cụ thể hóa yêu cầu tại Điều 34 theo loại công trình nhỏ, đơn giản.</w:t>
            </w:r>
          </w:p>
        </w:tc>
      </w:tr>
      <w:tr w:rsidR="006D2EF6" w:rsidRPr="00D703B5" w:rsidTr="00847E14">
        <w:trPr>
          <w:jc w:val="center"/>
        </w:trPr>
        <w:tc>
          <w:tcPr>
            <w:tcW w:w="440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b khoản 1 Điều 34, Điều 36 Nghị định số 207/2026/NĐ-CP; pháp luật chuyên ngành đường bộ.</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 Công trình giao thông: kiểm tra nền, các loại mặt đường, lề, rãnh, cống, tường chắn, hộ lan, hệ thống ATGT, ta luy; kiểm tra thường xuyên và định kỳ hằng năm/trước, sau mùa mưa tùy hạng mục.</w:t>
            </w:r>
          </w:p>
        </w:tc>
        <w:tc>
          <w:tcPr>
            <w:tcW w:w="453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Cụ thể hóa quy trình mẫu cho các công trình giao thông thuộc danh mục dự án đặc thù. </w:t>
            </w:r>
            <w:r w:rsidR="00511005" w:rsidRPr="00D703B5">
              <w:rPr>
                <w:rFonts w:cs="Times New Roman"/>
                <w:sz w:val="26"/>
                <w:szCs w:val="26"/>
              </w:rPr>
              <w:t>Phù hợp yêu cầu phải quy định phương pháp và tần suất kiểm tra</w:t>
            </w:r>
            <w:r w:rsidR="00511005">
              <w:rPr>
                <w:rFonts w:cs="Times New Roman"/>
                <w:sz w:val="26"/>
                <w:szCs w:val="26"/>
              </w:rPr>
              <w:t>.</w:t>
            </w:r>
          </w:p>
        </w:tc>
      </w:tr>
      <w:tr w:rsidR="006D2EF6" w:rsidRPr="00D703B5" w:rsidTr="00847E14">
        <w:trPr>
          <w:jc w:val="center"/>
        </w:trPr>
        <w:tc>
          <w:tcPr>
            <w:tcW w:w="440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Điểm b khoản 1 Điều 34, Điều 36 Nghị định số 207/2026/NĐ-CP; pháp luật </w:t>
            </w:r>
            <w:r w:rsidRPr="00D703B5">
              <w:rPr>
                <w:rFonts w:cs="Times New Roman"/>
                <w:sz w:val="26"/>
                <w:szCs w:val="26"/>
              </w:rPr>
              <w:lastRenderedPageBreak/>
              <w:t>chuyên ngành thủy lợi.</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 xml:space="preserve">Khoản 3 - Công trình nông nghiệp và môi trường: kiểm tra kênh, cống, </w:t>
            </w:r>
            <w:r w:rsidRPr="00D703B5">
              <w:rPr>
                <w:rFonts w:cs="Times New Roman"/>
                <w:sz w:val="26"/>
                <w:szCs w:val="26"/>
              </w:rPr>
              <w:lastRenderedPageBreak/>
              <w:t>công trình trữ nước nhỏ, hệ thống tưới tiên tiến; chủ yếu trực quan, vận hành thử; tần suất trong khai thác và trước/sau mùa mưa.</w:t>
            </w:r>
          </w:p>
        </w:tc>
        <w:tc>
          <w:tcPr>
            <w:tcW w:w="453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Phù hợp yêu cầu phải quy định phương pháp và tần suất kiểm tra.</w:t>
            </w:r>
          </w:p>
        </w:tc>
      </w:tr>
      <w:tr w:rsidR="006D2EF6" w:rsidRPr="00D703B5" w:rsidTr="00847E14">
        <w:trPr>
          <w:jc w:val="center"/>
        </w:trPr>
        <w:tc>
          <w:tcPr>
            <w:tcW w:w="440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b khoản 1 Điều 34 và Điều 36 Nghị định số 207/2026/NĐ-CP.</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4: kiểm tra đột xuất khi hư hỏng do gió, bão, lũ, động đất, va đập, cháy hoặc có dấu hiệu xuống cấp ảnh hưởng an toàn.</w:t>
            </w:r>
          </w:p>
        </w:tc>
        <w:tc>
          <w:tcPr>
            <w:tcW w:w="453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Cụ thể hóa đúng cơ chế kiểm tra đột xuất của pháp luật xây dựng. Không phát sinh thủ tục hành chính.</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4. Nội dung và chỉ dẫn thực hiện bảo dưỡng công trình</w:t>
      </w:r>
    </w:p>
    <w:tbl>
      <w:tblPr>
        <w:tblStyle w:val="TableGrid"/>
        <w:tblW w:w="13140" w:type="dxa"/>
        <w:jc w:val="center"/>
        <w:tblLayout w:type="fixed"/>
        <w:tblLook w:val="04A0" w:firstRow="1" w:lastRow="0" w:firstColumn="1" w:lastColumn="0" w:noHBand="0" w:noVBand="1"/>
      </w:tblPr>
      <w:tblGrid>
        <w:gridCol w:w="4351"/>
        <w:gridCol w:w="4111"/>
        <w:gridCol w:w="4678"/>
      </w:tblGrid>
      <w:tr w:rsidR="006D2EF6" w:rsidRPr="00D703B5" w:rsidTr="00847E14">
        <w:trPr>
          <w:tblHeader/>
          <w:jc w:val="center"/>
        </w:trPr>
        <w:tc>
          <w:tcPr>
            <w:tcW w:w="4351"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4111"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678"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35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c khoản 1 Điều 34 và Điều 36 Nghị định số 207/2026/NĐ-CP yêu cầu quy định nội dung, chỉ dẫn bảo dưỡng phù hợp từng bộ phận, loại công trình và thiết bị.</w:t>
            </w:r>
          </w:p>
        </w:tc>
        <w:tc>
          <w:tcPr>
            <w:tcW w:w="411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 Dân dụng: bảng quy định chu kỳ bảo dưỡng, “bảo trì”, bảo dưỡng và sửa chữa định kỳ đối với 13 nhóm hạng mục. Nhiều hạng mục sử dụng chu kỳ “bảo trì lần đầu không quá 10 năm; các lần tiếp theo 05 năm”.</w:t>
            </w:r>
          </w:p>
        </w:tc>
        <w:tc>
          <w:tcPr>
            <w:tcW w:w="4678"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quy định </w:t>
            </w:r>
            <w:r w:rsidR="005235D5" w:rsidRPr="005235D5">
              <w:rPr>
                <w:rFonts w:cs="Times New Roman"/>
                <w:sz w:val="26"/>
                <w:szCs w:val="26"/>
              </w:rPr>
              <w:t>chỉ dẫn thực hiện bảo dưỡng công trình phù hợp với từng bộ phận công trình, loại công trình và thiết bị lắp đặt vào công trình</w:t>
            </w:r>
            <w:r w:rsidR="005235D5">
              <w:rPr>
                <w:rFonts w:cs="Times New Roman"/>
                <w:sz w:val="26"/>
                <w:szCs w:val="26"/>
              </w:rPr>
              <w:t xml:space="preserve"> dân dụng</w:t>
            </w:r>
            <w:r w:rsidRPr="00D703B5">
              <w:rPr>
                <w:rFonts w:cs="Times New Roman"/>
                <w:sz w:val="26"/>
                <w:szCs w:val="26"/>
              </w:rPr>
              <w:t xml:space="preserve">. </w:t>
            </w:r>
          </w:p>
        </w:tc>
      </w:tr>
      <w:tr w:rsidR="006D2EF6" w:rsidRPr="00D703B5" w:rsidTr="00847E14">
        <w:trPr>
          <w:jc w:val="center"/>
        </w:trPr>
        <w:tc>
          <w:tcPr>
            <w:tcW w:w="435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c, đ khoản 1 Điều 34 và Điều 36 Nghị định số 207/2026/NĐ-CP.</w:t>
            </w:r>
          </w:p>
        </w:tc>
        <w:tc>
          <w:tcPr>
            <w:tcW w:w="411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 Giao thông: hầu hết hạng mục quy định bảo dưỡng hằng năm và “bảo trì định kỳ không quá 05 năm”; kèm nội dung sửa chữa định kỳ.</w:t>
            </w:r>
          </w:p>
        </w:tc>
        <w:tc>
          <w:tcPr>
            <w:tcW w:w="4678" w:type="dxa"/>
            <w:tcMar>
              <w:top w:w="80" w:type="dxa"/>
              <w:left w:w="80" w:type="dxa"/>
              <w:bottom w:w="80" w:type="dxa"/>
              <w:right w:w="80" w:type="dxa"/>
            </w:tcMar>
          </w:tcPr>
          <w:p w:rsidR="006D2EF6" w:rsidRPr="00D703B5" w:rsidRDefault="005235D5" w:rsidP="00744C54">
            <w:pPr>
              <w:spacing w:after="120" w:line="264" w:lineRule="auto"/>
              <w:jc w:val="both"/>
              <w:rPr>
                <w:rFonts w:cs="Times New Roman"/>
                <w:sz w:val="26"/>
                <w:szCs w:val="26"/>
              </w:rPr>
            </w:pPr>
            <w:r w:rsidRPr="00D703B5">
              <w:rPr>
                <w:rFonts w:cs="Times New Roman"/>
                <w:sz w:val="26"/>
                <w:szCs w:val="26"/>
              </w:rPr>
              <w:t xml:space="preserve">quy định </w:t>
            </w:r>
            <w:r w:rsidRPr="005235D5">
              <w:rPr>
                <w:rFonts w:cs="Times New Roman"/>
                <w:sz w:val="26"/>
                <w:szCs w:val="26"/>
              </w:rPr>
              <w:t>chỉ dẫn thực hiện bảo dưỡng công trình phù hợp với từng bộ phận công trình, loại công trình và thiết bị lắp đặt vào công trình</w:t>
            </w:r>
            <w:r>
              <w:rPr>
                <w:rFonts w:cs="Times New Roman"/>
                <w:sz w:val="26"/>
                <w:szCs w:val="26"/>
              </w:rPr>
              <w:t xml:space="preserve"> </w:t>
            </w:r>
            <w:r>
              <w:rPr>
                <w:rFonts w:cs="Times New Roman"/>
                <w:sz w:val="26"/>
                <w:szCs w:val="26"/>
              </w:rPr>
              <w:t>giao thông</w:t>
            </w:r>
            <w:r w:rsidR="00B52C27" w:rsidRPr="00D703B5">
              <w:rPr>
                <w:rFonts w:cs="Times New Roman"/>
                <w:sz w:val="26"/>
                <w:szCs w:val="26"/>
              </w:rPr>
              <w:t>.</w:t>
            </w:r>
          </w:p>
        </w:tc>
      </w:tr>
      <w:tr w:rsidR="006D2EF6" w:rsidRPr="00D703B5" w:rsidTr="00847E14">
        <w:trPr>
          <w:jc w:val="center"/>
        </w:trPr>
        <w:tc>
          <w:tcPr>
            <w:tcW w:w="435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Điểm c, đ khoản 1 Điều 34 và Điều 36 Nghị định số 207/2026/NĐ-CP; pháp luật chuyên ngành thủy lợi.</w:t>
            </w:r>
          </w:p>
        </w:tc>
        <w:tc>
          <w:tcPr>
            <w:tcW w:w="411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3 - Nông nghiệp và môi trường: quy định bảo dưỡng hằng năm và “bảo trì định kỳ không quá 05 năm” đối với kênh, cống, công trình trữ nước nhỏ, hệ thống tưới.</w:t>
            </w:r>
          </w:p>
        </w:tc>
        <w:tc>
          <w:tcPr>
            <w:tcW w:w="4678" w:type="dxa"/>
            <w:tcMar>
              <w:top w:w="80" w:type="dxa"/>
              <w:left w:w="80" w:type="dxa"/>
              <w:bottom w:w="80" w:type="dxa"/>
              <w:right w:w="80" w:type="dxa"/>
            </w:tcMar>
          </w:tcPr>
          <w:p w:rsidR="006D2EF6" w:rsidRPr="00D703B5" w:rsidRDefault="005235D5" w:rsidP="00744C54">
            <w:pPr>
              <w:spacing w:after="120" w:line="264" w:lineRule="auto"/>
              <w:jc w:val="both"/>
              <w:rPr>
                <w:rFonts w:cs="Times New Roman"/>
                <w:sz w:val="26"/>
                <w:szCs w:val="26"/>
              </w:rPr>
            </w:pPr>
            <w:r w:rsidRPr="00D703B5">
              <w:rPr>
                <w:rFonts w:cs="Times New Roman"/>
                <w:sz w:val="26"/>
                <w:szCs w:val="26"/>
              </w:rPr>
              <w:t xml:space="preserve">quy định </w:t>
            </w:r>
            <w:r w:rsidRPr="005235D5">
              <w:rPr>
                <w:rFonts w:cs="Times New Roman"/>
                <w:sz w:val="26"/>
                <w:szCs w:val="26"/>
              </w:rPr>
              <w:t>chỉ dẫn thực hiện bảo dưỡng công trình phù hợp với từng bộ phận công trình, loại công trình và thiết bị lắp đặt vào công trình</w:t>
            </w:r>
            <w:r>
              <w:rPr>
                <w:rFonts w:cs="Times New Roman"/>
                <w:sz w:val="26"/>
                <w:szCs w:val="26"/>
              </w:rPr>
              <w:t xml:space="preserve"> </w:t>
            </w:r>
            <w:r>
              <w:rPr>
                <w:rFonts w:cs="Times New Roman"/>
                <w:sz w:val="26"/>
                <w:szCs w:val="26"/>
              </w:rPr>
              <w:t>nông nghiệp và môi trường</w:t>
            </w:r>
            <w:r w:rsidR="00B52C27" w:rsidRPr="00D703B5">
              <w:rPr>
                <w:rFonts w:cs="Times New Roman"/>
                <w:sz w:val="26"/>
                <w:szCs w:val="26"/>
              </w:rPr>
              <w:t>.</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5. Thời điểm và chỉ dẫn thay thế định kỳ các thiết bị lắp đặt vào công trình</w:t>
      </w:r>
    </w:p>
    <w:tbl>
      <w:tblPr>
        <w:tblStyle w:val="TableGrid"/>
        <w:tblW w:w="13202" w:type="dxa"/>
        <w:jc w:val="center"/>
        <w:tblLayout w:type="fixed"/>
        <w:tblLook w:val="04A0" w:firstRow="1" w:lastRow="0" w:firstColumn="1" w:lastColumn="0" w:noHBand="0" w:noVBand="1"/>
      </w:tblPr>
      <w:tblGrid>
        <w:gridCol w:w="4394"/>
        <w:gridCol w:w="4111"/>
        <w:gridCol w:w="4697"/>
      </w:tblGrid>
      <w:tr w:rsidR="006D2EF6" w:rsidRPr="00D703B5" w:rsidTr="00847E14">
        <w:trPr>
          <w:tblHeader/>
          <w:jc w:val="center"/>
        </w:trPr>
        <w:tc>
          <w:tcPr>
            <w:tcW w:w="4394"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4111"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697"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39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d khoản 1 Điều 34 Nghị định số 207/2026/NĐ-CP và khoản 1 Điều 22 Nghị định số 358/2025/NĐ-CP yêu cầu quy trình mẫu quy định thời điểm và chỉ dẫn thay thế định kỳ thiết bị.</w:t>
            </w:r>
          </w:p>
        </w:tc>
        <w:tc>
          <w:tcPr>
            <w:tcW w:w="411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5: thay thiết bị theo khuyến cáo nhà sản xuất hoặc khi không còn hoạt động ổn định, nguy cơ mất an toàn; thiết bị điện thay khi chập cháy/hư hỏng; thiết bị vệ sinh, vòi nước 5-10 năm; máy bơm kiểm tra 02 năm/lần.</w:t>
            </w:r>
          </w:p>
        </w:tc>
        <w:tc>
          <w:tcPr>
            <w:tcW w:w="4697" w:type="dxa"/>
            <w:tcMar>
              <w:top w:w="80" w:type="dxa"/>
              <w:left w:w="80" w:type="dxa"/>
              <w:bottom w:w="80" w:type="dxa"/>
              <w:right w:w="80" w:type="dxa"/>
            </w:tcMar>
          </w:tcPr>
          <w:p w:rsidR="006D2EF6" w:rsidRPr="00D703B5" w:rsidRDefault="00DA2B7A" w:rsidP="00744C54">
            <w:pPr>
              <w:spacing w:after="120" w:line="264" w:lineRule="auto"/>
              <w:jc w:val="both"/>
              <w:rPr>
                <w:rFonts w:cs="Times New Roman"/>
                <w:sz w:val="26"/>
                <w:szCs w:val="26"/>
              </w:rPr>
            </w:pPr>
            <w:r>
              <w:rPr>
                <w:rFonts w:cs="Times New Roman"/>
                <w:sz w:val="26"/>
                <w:szCs w:val="26"/>
              </w:rPr>
              <w:t>Chi dẫn về t</w:t>
            </w:r>
            <w:r w:rsidRPr="00DA2B7A">
              <w:rPr>
                <w:rFonts w:cs="Times New Roman"/>
                <w:sz w:val="26"/>
                <w:szCs w:val="26"/>
              </w:rPr>
              <w:t>hời điểm và chỉ dẫn thay thế định kỳ các thiết bị lắp đặt vào công trình</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6. Chỉ dẫn phương pháp sửa chữa các hư hỏng thông thường và xử lý công trình xuống cấp</w:t>
      </w:r>
    </w:p>
    <w:tbl>
      <w:tblPr>
        <w:tblStyle w:val="TableGrid"/>
        <w:tblW w:w="13202" w:type="dxa"/>
        <w:jc w:val="center"/>
        <w:tblLayout w:type="fixed"/>
        <w:tblLook w:val="04A0" w:firstRow="1" w:lastRow="0" w:firstColumn="1" w:lastColumn="0" w:noHBand="0" w:noVBand="1"/>
      </w:tblPr>
      <w:tblGrid>
        <w:gridCol w:w="4437"/>
        <w:gridCol w:w="3969"/>
        <w:gridCol w:w="4796"/>
      </w:tblGrid>
      <w:tr w:rsidR="006D2EF6" w:rsidRPr="00D703B5" w:rsidTr="00847E14">
        <w:trPr>
          <w:tblHeader/>
          <w:jc w:val="center"/>
        </w:trPr>
        <w:tc>
          <w:tcPr>
            <w:tcW w:w="4437"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9"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796"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43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34, Điều 36 Nghị định số 207/2026/NĐ-CP.</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Khoản 1: chỉ áp dụng giải pháp sửa chữa cho hư hỏng thông thường, sự cố nhỏ; ưu tiên vật liệu tại chỗ; sự cố đe dọa kết cấu thì cộng đồng không tự xử lý, phải rào chắn, cảnh </w:t>
            </w:r>
            <w:r w:rsidRPr="00D703B5">
              <w:rPr>
                <w:rFonts w:cs="Times New Roman"/>
                <w:sz w:val="26"/>
                <w:szCs w:val="26"/>
              </w:rPr>
              <w:lastRenderedPageBreak/>
              <w:t>báo, báo UBND xã.</w:t>
            </w:r>
          </w:p>
        </w:tc>
        <w:tc>
          <w:tcPr>
            <w:tcW w:w="4796"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Hướng tiếp cận phù hợp bản chất dự án kỹ thuật đơn giản và bảo đảm an toàn.</w:t>
            </w:r>
          </w:p>
        </w:tc>
      </w:tr>
      <w:tr w:rsidR="006D2EF6" w:rsidRPr="00D703B5" w:rsidTr="00847E14">
        <w:trPr>
          <w:jc w:val="center"/>
        </w:trPr>
        <w:tc>
          <w:tcPr>
            <w:tcW w:w="443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đ khoản 1 Điều 34 Nghị định số 207/2026/NĐ-CP.</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 Dân dụng: 19 dạng hư hỏng và cách khắc phục đối với sơn, cửa, sê nô, lát nền, thấm, nứt vữa, sân thể thao…</w:t>
            </w:r>
          </w:p>
        </w:tc>
        <w:tc>
          <w:tcPr>
            <w:tcW w:w="4796" w:type="dxa"/>
            <w:tcMar>
              <w:top w:w="80" w:type="dxa"/>
              <w:left w:w="80" w:type="dxa"/>
              <w:bottom w:w="80" w:type="dxa"/>
              <w:right w:w="80" w:type="dxa"/>
            </w:tcMar>
          </w:tcPr>
          <w:p w:rsidR="006D2EF6" w:rsidRPr="00D703B5" w:rsidRDefault="00023534" w:rsidP="00744C54">
            <w:pPr>
              <w:spacing w:after="120" w:line="264" w:lineRule="auto"/>
              <w:jc w:val="both"/>
              <w:rPr>
                <w:rFonts w:cs="Times New Roman"/>
                <w:sz w:val="26"/>
                <w:szCs w:val="26"/>
              </w:rPr>
            </w:pPr>
            <w:r>
              <w:rPr>
                <w:rFonts w:cs="Times New Roman"/>
                <w:sz w:val="26"/>
                <w:szCs w:val="26"/>
              </w:rPr>
              <w:t>Quy định cụ thể các c</w:t>
            </w:r>
            <w:r w:rsidRPr="00023534">
              <w:rPr>
                <w:rFonts w:cs="Times New Roman"/>
                <w:sz w:val="26"/>
                <w:szCs w:val="26"/>
              </w:rPr>
              <w:t>hỉ dẫn phương pháp sửa chữa các hư hỏng thông thường và xử lý công trình xuống cấp</w:t>
            </w:r>
          </w:p>
        </w:tc>
      </w:tr>
      <w:tr w:rsidR="006D2EF6" w:rsidRPr="00D703B5" w:rsidTr="00847E14">
        <w:trPr>
          <w:jc w:val="center"/>
        </w:trPr>
        <w:tc>
          <w:tcPr>
            <w:tcW w:w="443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đ khoản 1 Điều 34, Điều 36 Nghị định số 207/2026/NĐ-CP; pháp luật chuyên ngành đường bộ.</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3 - Giao thông: quy định các dạng hư hỏng và phương pháp sửa chữa mặt đường BTXM, đá dăm láng nhựa, ta luy, lề, rãnh, rọ thép, tường chắn, ATGT.</w:t>
            </w:r>
          </w:p>
        </w:tc>
        <w:tc>
          <w:tcPr>
            <w:tcW w:w="4796" w:type="dxa"/>
            <w:tcMar>
              <w:top w:w="80" w:type="dxa"/>
              <w:left w:w="80" w:type="dxa"/>
              <w:bottom w:w="80" w:type="dxa"/>
              <w:right w:w="80" w:type="dxa"/>
            </w:tcMar>
          </w:tcPr>
          <w:p w:rsidR="006D2EF6" w:rsidRPr="00D703B5" w:rsidRDefault="00023534" w:rsidP="00744C54">
            <w:pPr>
              <w:spacing w:after="120" w:line="264" w:lineRule="auto"/>
              <w:jc w:val="both"/>
              <w:rPr>
                <w:rFonts w:cs="Times New Roman"/>
                <w:sz w:val="26"/>
                <w:szCs w:val="26"/>
              </w:rPr>
            </w:pPr>
            <w:r>
              <w:rPr>
                <w:rFonts w:cs="Times New Roman"/>
                <w:sz w:val="26"/>
                <w:szCs w:val="26"/>
              </w:rPr>
              <w:t>Quy định cụ thể các c</w:t>
            </w:r>
            <w:r w:rsidRPr="00023534">
              <w:rPr>
                <w:rFonts w:cs="Times New Roman"/>
                <w:sz w:val="26"/>
                <w:szCs w:val="26"/>
              </w:rPr>
              <w:t>hỉ dẫn phương pháp sửa chữa các hư hỏng thông thường và xử lý công trình xuống cấp</w:t>
            </w:r>
          </w:p>
        </w:tc>
      </w:tr>
      <w:tr w:rsidR="006D2EF6" w:rsidRPr="00D703B5" w:rsidTr="00847E14">
        <w:trPr>
          <w:jc w:val="center"/>
        </w:trPr>
        <w:tc>
          <w:tcPr>
            <w:tcW w:w="4437"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Điều 34, Điều 36 Nghị định số 207/2026/NĐ-CP và pháp luật chuyên ngành thủy lợi.</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4 - Nông nghiệp và môi trường: sửa chữa kênh, cống lấy nước, đập/hồ nhỏ, hệ thống tưới; có các chỉ dẫn như đắp lớp 15-20 cm, xử lý mối, hàn/tiện cơ khí, sửa ống PVC/HDPE.</w:t>
            </w:r>
          </w:p>
        </w:tc>
        <w:tc>
          <w:tcPr>
            <w:tcW w:w="4796" w:type="dxa"/>
            <w:tcMar>
              <w:top w:w="80" w:type="dxa"/>
              <w:left w:w="80" w:type="dxa"/>
              <w:bottom w:w="80" w:type="dxa"/>
              <w:right w:w="80" w:type="dxa"/>
            </w:tcMar>
          </w:tcPr>
          <w:p w:rsidR="006D2EF6" w:rsidRPr="00D703B5" w:rsidRDefault="00023534" w:rsidP="00744C54">
            <w:pPr>
              <w:spacing w:after="120" w:line="264" w:lineRule="auto"/>
              <w:jc w:val="both"/>
              <w:rPr>
                <w:rFonts w:cs="Times New Roman"/>
                <w:sz w:val="26"/>
                <w:szCs w:val="26"/>
              </w:rPr>
            </w:pPr>
            <w:r>
              <w:rPr>
                <w:rFonts w:cs="Times New Roman"/>
                <w:sz w:val="26"/>
                <w:szCs w:val="26"/>
              </w:rPr>
              <w:t>Quy định cụ thể các c</w:t>
            </w:r>
            <w:r w:rsidRPr="00023534">
              <w:rPr>
                <w:rFonts w:cs="Times New Roman"/>
                <w:sz w:val="26"/>
                <w:szCs w:val="26"/>
              </w:rPr>
              <w:t>hỉ dẫn phương pháp sửa chữa các hư hỏng thông thường và xử lý công trình xuống cấp</w:t>
            </w:r>
          </w:p>
        </w:tc>
      </w:tr>
    </w:tbl>
    <w:p w:rsidR="00023534" w:rsidRDefault="00023534" w:rsidP="00744C54">
      <w:pPr>
        <w:spacing w:after="120" w:line="264" w:lineRule="auto"/>
        <w:ind w:firstLine="720"/>
        <w:rPr>
          <w:rFonts w:cs="Times New Roman"/>
          <w:b/>
          <w:sz w:val="26"/>
          <w:szCs w:val="26"/>
        </w:rPr>
      </w:pPr>
    </w:p>
    <w:p w:rsidR="00023534" w:rsidRDefault="00023534" w:rsidP="00744C54">
      <w:pPr>
        <w:spacing w:after="120" w:line="264" w:lineRule="auto"/>
        <w:ind w:firstLine="720"/>
        <w:rPr>
          <w:rFonts w:cs="Times New Roman"/>
          <w:b/>
          <w:sz w:val="26"/>
          <w:szCs w:val="26"/>
        </w:rPr>
      </w:pPr>
    </w:p>
    <w:p w:rsidR="00023534" w:rsidRDefault="00023534" w:rsidP="00744C54">
      <w:pPr>
        <w:spacing w:after="120" w:line="264" w:lineRule="auto"/>
        <w:ind w:firstLine="720"/>
        <w:rPr>
          <w:rFonts w:cs="Times New Roman"/>
          <w:b/>
          <w:sz w:val="26"/>
          <w:szCs w:val="26"/>
        </w:rPr>
      </w:pPr>
    </w:p>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7. Thời gian sử dụng của công trình, các bộ phận, hạng mục công trình, thiết bị lắp đặt vào công trình</w:t>
      </w:r>
    </w:p>
    <w:tbl>
      <w:tblPr>
        <w:tblStyle w:val="TableGrid"/>
        <w:tblW w:w="13235" w:type="dxa"/>
        <w:jc w:val="center"/>
        <w:tblLayout w:type="fixed"/>
        <w:tblLook w:val="04A0" w:firstRow="1" w:lastRow="0" w:firstColumn="1" w:lastColumn="0" w:noHBand="0" w:noVBand="1"/>
      </w:tblPr>
      <w:tblGrid>
        <w:gridCol w:w="4453"/>
        <w:gridCol w:w="3969"/>
        <w:gridCol w:w="4813"/>
      </w:tblGrid>
      <w:tr w:rsidR="006D2EF6" w:rsidRPr="00D703B5" w:rsidTr="00847E14">
        <w:trPr>
          <w:tblHeader/>
          <w:jc w:val="center"/>
        </w:trPr>
        <w:tc>
          <w:tcPr>
            <w:tcW w:w="4453"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9"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813"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453"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Khoản 1 Điều 43 Nghị định số 207/2026/NĐ-CP: chủ sở hữu hoặc chủ quản lý, sử dụng công trình xác định thời hạn sử dụng theo hồ sơ thiết kế và quy chuẩn, tiêu chuẩn áp dụng.</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Khoản 1: </w:t>
            </w:r>
            <w:r w:rsidR="00EA198F" w:rsidRPr="00D703B5">
              <w:rPr>
                <w:rFonts w:cs="Times New Roman"/>
                <w:sz w:val="26"/>
                <w:szCs w:val="26"/>
              </w:rPr>
              <w:t>chủ sở hữu hoặc chủ quản lý, sử dụng công trình xác định thời hạn sử dụng theo hồ sơ thiết kế và quy chuẩn, tiêu chuẩn áp dụng</w:t>
            </w:r>
            <w:r w:rsidRPr="00D703B5">
              <w:rPr>
                <w:rFonts w:cs="Times New Roman"/>
                <w:sz w:val="26"/>
                <w:szCs w:val="26"/>
              </w:rPr>
              <w:t>.</w:t>
            </w:r>
          </w:p>
        </w:tc>
        <w:tc>
          <w:tcPr>
            <w:tcW w:w="4813" w:type="dxa"/>
            <w:tcMar>
              <w:top w:w="80" w:type="dxa"/>
              <w:left w:w="80" w:type="dxa"/>
              <w:bottom w:w="80" w:type="dxa"/>
              <w:right w:w="80" w:type="dxa"/>
            </w:tcMar>
          </w:tcPr>
          <w:p w:rsidR="006D2EF6" w:rsidRPr="00D703B5" w:rsidRDefault="00EA198F" w:rsidP="00744C54">
            <w:pPr>
              <w:spacing w:after="120" w:line="264" w:lineRule="auto"/>
              <w:jc w:val="both"/>
              <w:rPr>
                <w:rFonts w:cs="Times New Roman"/>
                <w:sz w:val="26"/>
                <w:szCs w:val="26"/>
              </w:rPr>
            </w:pPr>
            <w:r>
              <w:rPr>
                <w:rFonts w:cs="Times New Roman"/>
                <w:sz w:val="26"/>
                <w:szCs w:val="26"/>
              </w:rPr>
              <w:t>Nội dung thực hiện đảm bảo phù hợp trong nhiều trường hợp</w:t>
            </w:r>
            <w:r w:rsidR="00B52C27" w:rsidRPr="00D703B5">
              <w:rPr>
                <w:rFonts w:cs="Times New Roman"/>
                <w:sz w:val="26"/>
                <w:szCs w:val="26"/>
              </w:rPr>
              <w:t>.</w:t>
            </w:r>
          </w:p>
        </w:tc>
      </w:tr>
      <w:tr w:rsidR="006D2EF6" w:rsidRPr="00D703B5" w:rsidTr="00847E14">
        <w:trPr>
          <w:jc w:val="center"/>
        </w:trPr>
        <w:tc>
          <w:tcPr>
            <w:tcW w:w="4453"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e khoản 1 Điều 34 Nghị định số 207/2026/NĐ-CP yêu cầu quy trình bảo trì quy định thời gian sử dụng công trình, bộ phận, hạng mục và thiết bị.</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thiết bị lắp đặt thực hiện theo quy định, tài liệu hướng dẫn của nhà sản xuất, cung cấp thiết bị.</w:t>
            </w:r>
          </w:p>
        </w:tc>
        <w:tc>
          <w:tcPr>
            <w:tcW w:w="4813"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Phù hợp về nguyên tắc. Có thể bổ sung hồ sơ thiết kế, tiêu chuẩn áp dụng nếu cần để thống nhất với Điều 43.</w:t>
            </w:r>
          </w:p>
        </w:tc>
      </w:tr>
    </w:tbl>
    <w:p w:rsidR="006D2EF6" w:rsidRPr="00D703B5" w:rsidRDefault="00B52C27" w:rsidP="00744C54">
      <w:pPr>
        <w:spacing w:after="120" w:line="264" w:lineRule="auto"/>
        <w:ind w:firstLine="720"/>
        <w:rPr>
          <w:rFonts w:cs="Times New Roman"/>
          <w:sz w:val="26"/>
          <w:szCs w:val="26"/>
        </w:rPr>
      </w:pPr>
      <w:r w:rsidRPr="00D703B5">
        <w:rPr>
          <w:rFonts w:cs="Times New Roman"/>
          <w:b/>
          <w:sz w:val="26"/>
          <w:szCs w:val="26"/>
        </w:rPr>
        <w:t>Điều 8. Các chỉ dẫn khác liên quan đến bảo trì; an toàn lao động, vệ sinh môi trường</w:t>
      </w:r>
    </w:p>
    <w:tbl>
      <w:tblPr>
        <w:tblStyle w:val="TableGrid"/>
        <w:tblW w:w="13270" w:type="dxa"/>
        <w:jc w:val="center"/>
        <w:tblLayout w:type="fixed"/>
        <w:tblLook w:val="04A0" w:firstRow="1" w:lastRow="0" w:firstColumn="1" w:lastColumn="0" w:noHBand="0" w:noVBand="1"/>
      </w:tblPr>
      <w:tblGrid>
        <w:gridCol w:w="4471"/>
        <w:gridCol w:w="3969"/>
        <w:gridCol w:w="4830"/>
      </w:tblGrid>
      <w:tr w:rsidR="006D2EF6" w:rsidRPr="00D703B5" w:rsidTr="00847E14">
        <w:trPr>
          <w:tblHeader/>
          <w:jc w:val="center"/>
        </w:trPr>
        <w:tc>
          <w:tcPr>
            <w:tcW w:w="4471"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9"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830"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847E14">
        <w:trPr>
          <w:jc w:val="center"/>
        </w:trPr>
        <w:tc>
          <w:tcPr>
            <w:tcW w:w="447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l khoản 1 Điều 34 Nghị định số 207/2026/NĐ-CP yêu cầu quy trình bảo trì có chỉ dẫn về an toàn, vệ sinh lao động, bảo vệ môi trường, PCCC; QCVN 18:2021/BXD điều chỉnh an toàn trong thi công xây dựng.</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quy định biện pháp an toàn, rào chắn, cảnh báo, PCCC, an toàn điện, làm việc trên cao từ 2,0 m, lan can/lưới/dây an toàn.</w:t>
            </w:r>
          </w:p>
        </w:tc>
        <w:tc>
          <w:tcPr>
            <w:tcW w:w="4830" w:type="dxa"/>
            <w:tcMar>
              <w:top w:w="80" w:type="dxa"/>
              <w:left w:w="80" w:type="dxa"/>
              <w:bottom w:w="80" w:type="dxa"/>
              <w:right w:w="80" w:type="dxa"/>
            </w:tcMar>
          </w:tcPr>
          <w:p w:rsidR="006D2EF6" w:rsidRPr="00D703B5" w:rsidRDefault="00804E0D" w:rsidP="00744C54">
            <w:pPr>
              <w:spacing w:after="120" w:line="264" w:lineRule="auto"/>
              <w:jc w:val="both"/>
              <w:rPr>
                <w:rFonts w:cs="Times New Roman"/>
                <w:sz w:val="26"/>
                <w:szCs w:val="26"/>
              </w:rPr>
            </w:pPr>
            <w:r>
              <w:rPr>
                <w:rFonts w:cs="Times New Roman"/>
                <w:sz w:val="26"/>
                <w:szCs w:val="26"/>
              </w:rPr>
              <w:t>Quy định các chỉ dẫn trong quá trình thi công đảm bảo an toàn lao động</w:t>
            </w:r>
          </w:p>
        </w:tc>
      </w:tr>
      <w:tr w:rsidR="006D2EF6" w:rsidRPr="00D703B5" w:rsidTr="00847E14">
        <w:trPr>
          <w:jc w:val="center"/>
        </w:trPr>
        <w:tc>
          <w:tcPr>
            <w:tcW w:w="447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Điểm l khoản 1 Điều 34 Nghị định số 207/2026/NĐ-CP; pháp luật bảo vệ môi trường.</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bố trí kho bãi, dọn chất thải, thu gom nước thải/chất thải rắn, hạn chế khí thải, tiếng ồn, độ rung, xử lý bao bì hóa chất và dầu mỡ thải.</w:t>
            </w:r>
          </w:p>
        </w:tc>
        <w:tc>
          <w:tcPr>
            <w:tcW w:w="4830" w:type="dxa"/>
            <w:tcMar>
              <w:top w:w="80" w:type="dxa"/>
              <w:left w:w="80" w:type="dxa"/>
              <w:bottom w:w="80" w:type="dxa"/>
              <w:right w:w="80" w:type="dxa"/>
            </w:tcMar>
          </w:tcPr>
          <w:p w:rsidR="006D2EF6" w:rsidRPr="00D703B5" w:rsidRDefault="00804E0D" w:rsidP="00744C54">
            <w:pPr>
              <w:spacing w:after="120" w:line="264" w:lineRule="auto"/>
              <w:jc w:val="both"/>
              <w:rPr>
                <w:rFonts w:cs="Times New Roman"/>
                <w:sz w:val="26"/>
                <w:szCs w:val="26"/>
              </w:rPr>
            </w:pPr>
            <w:r>
              <w:rPr>
                <w:rFonts w:cs="Times New Roman"/>
                <w:sz w:val="26"/>
                <w:szCs w:val="26"/>
              </w:rPr>
              <w:t>Quy định các chỉ dẫn trong quá trình thi công đảm bảo</w:t>
            </w:r>
            <w:r w:rsidRPr="00804E0D">
              <w:rPr>
                <w:rFonts w:cs="Times New Roman"/>
                <w:sz w:val="26"/>
                <w:szCs w:val="26"/>
              </w:rPr>
              <w:t xml:space="preserve"> vệ sinh môi trường</w:t>
            </w:r>
          </w:p>
        </w:tc>
      </w:tr>
      <w:tr w:rsidR="006D2EF6" w:rsidRPr="00D703B5" w:rsidTr="00847E14">
        <w:trPr>
          <w:jc w:val="center"/>
        </w:trPr>
        <w:tc>
          <w:tcPr>
            <w:tcW w:w="447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Điểm k khoản 1 Điều 34 Nghị định số 207/2026/NĐ-CP yêu cầu quy định hồ sơ bảo trì và cập nhật thông tin vào hồ sơ.</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3: ghi chép lịch sử kiểm tra, bảo trì, sửa chữa vào nhật ký; lưu kết quả khảo sát, giải pháp sửa chữa, nhật ký, biên bản, bản vẽ; huy động người dân tham gia giám sát, đóng góp công sức.</w:t>
            </w:r>
          </w:p>
        </w:tc>
        <w:tc>
          <w:tcPr>
            <w:tcW w:w="4830"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Việc quy định hồ sơ phù hợp pháp luật. Nội dung huy động người dân phù hợp đặc trưng cơ chế CTMTQG nhưng phải thực hiện trên nguyên tắc tự nguyện và đúng cơ chế huy động nguồn lực theo pháp luật có liên quan; tránh cách diễn đạt có thể được hiểu là nghĩa vụ đóng góp bắt buộc.</w:t>
            </w:r>
          </w:p>
        </w:tc>
      </w:tr>
    </w:tbl>
    <w:p w:rsidR="006D2EF6" w:rsidRPr="00D703B5" w:rsidRDefault="000F7428" w:rsidP="00744C54">
      <w:pPr>
        <w:spacing w:after="120" w:line="264" w:lineRule="auto"/>
        <w:ind w:firstLine="720"/>
        <w:rPr>
          <w:rFonts w:cs="Times New Roman"/>
          <w:sz w:val="26"/>
          <w:szCs w:val="26"/>
        </w:rPr>
      </w:pPr>
      <w:r>
        <w:rPr>
          <w:rFonts w:cs="Times New Roman"/>
          <w:b/>
          <w:sz w:val="26"/>
          <w:szCs w:val="26"/>
        </w:rPr>
        <w:t>Điều 9</w:t>
      </w:r>
      <w:r w:rsidR="00B52C27" w:rsidRPr="00D703B5">
        <w:rPr>
          <w:rFonts w:cs="Times New Roman"/>
          <w:b/>
          <w:sz w:val="26"/>
          <w:szCs w:val="26"/>
        </w:rPr>
        <w:t>. Tổ chức thực hiện</w:t>
      </w:r>
    </w:p>
    <w:tbl>
      <w:tblPr>
        <w:tblStyle w:val="TableGrid"/>
        <w:tblW w:w="13295" w:type="dxa"/>
        <w:jc w:val="center"/>
        <w:tblLayout w:type="fixed"/>
        <w:tblLook w:val="04A0" w:firstRow="1" w:lastRow="0" w:firstColumn="1" w:lastColumn="0" w:noHBand="0" w:noVBand="1"/>
      </w:tblPr>
      <w:tblGrid>
        <w:gridCol w:w="4394"/>
        <w:gridCol w:w="3969"/>
        <w:gridCol w:w="4932"/>
      </w:tblGrid>
      <w:tr w:rsidR="006D2EF6" w:rsidRPr="00D703B5" w:rsidTr="00ED26BD">
        <w:trPr>
          <w:tblHeader/>
          <w:jc w:val="center"/>
        </w:trPr>
        <w:tc>
          <w:tcPr>
            <w:tcW w:w="4394"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9"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932"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ED26BD">
        <w:trPr>
          <w:jc w:val="center"/>
        </w:trPr>
        <w:tc>
          <w:tcPr>
            <w:tcW w:w="439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Nghị định số 207/2026/NĐ-CP và quy định về chức năng, nhiệm vụ của cơ quan chuyên môn về xây dựng.</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Sở Xây dựng chủ trì, phối hợp kiểm tra, hướng dẫn đối với công trình dân dụng và giao thông.</w:t>
            </w:r>
          </w:p>
        </w:tc>
        <w:tc>
          <w:tcPr>
            <w:tcW w:w="4932"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Đây là phân công tổ chức thực hiện theo chức năng quản lý chuyên ngành, không phải phân cấp, phân quyền mới. </w:t>
            </w:r>
          </w:p>
        </w:tc>
      </w:tr>
      <w:tr w:rsidR="006D2EF6" w:rsidRPr="00D703B5" w:rsidTr="00ED26BD">
        <w:trPr>
          <w:jc w:val="center"/>
        </w:trPr>
        <w:tc>
          <w:tcPr>
            <w:tcW w:w="439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Pháp luật chuyên ngành nông nghiệp, thủy lợi và quy định chức năng của Sở Nông nghiệp và Môi trường.</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Sở Nông nghiệp và Môi trường chủ trì, phối hợp kiểm tra, hướng dẫn đối với công trình nông nghiệp và môi trường.</w:t>
            </w:r>
          </w:p>
        </w:tc>
        <w:tc>
          <w:tcPr>
            <w:tcW w:w="4932"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Là phân công trách nhiệm theo lĩnh vực; không phải phân cấp quyền lực nhà nước. </w:t>
            </w:r>
          </w:p>
        </w:tc>
      </w:tr>
      <w:tr w:rsidR="006D2EF6" w:rsidRPr="00D703B5" w:rsidTr="00ED26BD">
        <w:trPr>
          <w:jc w:val="center"/>
        </w:trPr>
        <w:tc>
          <w:tcPr>
            <w:tcW w:w="439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Điều 22 Nghị định số 358/2025/NĐ-CP quy định UBND cấp xã giao đơn vị quản lý vận hành, giao lập kế hoạch bảo trì, quyết định kế hoạch và lựa chọn cộng đồng/tổ chức/tổ, nhóm thợ/hợp tác xã thực hiện bảo trì.</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xml:space="preserve">Khoản 3: UBND cấp xã căn cứ điều kiện thực tế tổ chức quản lý vận hành; hướng dẫn kỹ thuật, bàn giao hồ sơ; chủ trì kiểm tra định kỳ; quyết định sử dụng ngân sách cấp xã/đặc khu hoặc huy động nguồn </w:t>
            </w:r>
            <w:r w:rsidRPr="00D703B5">
              <w:rPr>
                <w:rFonts w:cs="Times New Roman"/>
                <w:sz w:val="26"/>
                <w:szCs w:val="26"/>
              </w:rPr>
              <w:lastRenderedPageBreak/>
              <w:t>lực hợp pháp hỗ trợ cộng đồng.</w:t>
            </w:r>
          </w:p>
        </w:tc>
        <w:tc>
          <w:tcPr>
            <w:tcW w:w="4932"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lastRenderedPageBreak/>
              <w:t xml:space="preserve">Phần quy định về quản lý vận hành cần bám sát khoản 2 Điều 22, tránh quy định khác hoặc thiếu các bước Chính phủ đã giao. </w:t>
            </w:r>
          </w:p>
        </w:tc>
      </w:tr>
      <w:tr w:rsidR="006D2EF6" w:rsidRPr="00D703B5" w:rsidTr="00ED26BD">
        <w:trPr>
          <w:jc w:val="center"/>
        </w:trPr>
        <w:tc>
          <w:tcPr>
            <w:tcW w:w="4394"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3 Điều 22 Nghị định số 358/2025/NĐ-CP quy định chi phí bảo trì được xác định bằng phương pháp lập dự toán theo pháp luật đầu tư xây dựng; gồm chi phí bảo trì định kỳ, sửa chữa, tư vấn, quản lý và chi phí khác.</w:t>
            </w:r>
          </w:p>
        </w:tc>
        <w:tc>
          <w:tcPr>
            <w:tcW w:w="3969"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3 điểm c dự thảo cho phép “quyết định sử dụng kinh phí từ ngân sách cấp xã/đặc khu hoặc huy động các nguồn lực hợp pháp khác...”.</w:t>
            </w:r>
          </w:p>
        </w:tc>
        <w:tc>
          <w:tcPr>
            <w:tcW w:w="4932"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 Quy trình bảo trì mẫu không nên tự tạo thêm thẩm quyền quyết định sử dụng ngân sách ngoài pháp luật ngân sách. Nên dẫn chiếu việc bố trí, quản lý, sử dụng kinh phí theo Nghị định 358 và pháp luật ngân sách, đầu tư xây dựng.</w:t>
            </w:r>
          </w:p>
        </w:tc>
      </w:tr>
    </w:tbl>
    <w:p w:rsidR="006D2EF6" w:rsidRDefault="00B52C27" w:rsidP="00744C54">
      <w:pPr>
        <w:spacing w:after="120" w:line="264" w:lineRule="auto"/>
        <w:ind w:firstLine="720"/>
        <w:rPr>
          <w:rFonts w:cs="Times New Roman"/>
          <w:b/>
          <w:sz w:val="26"/>
          <w:szCs w:val="26"/>
        </w:rPr>
      </w:pPr>
      <w:r w:rsidRPr="00D703B5">
        <w:rPr>
          <w:rFonts w:cs="Times New Roman"/>
          <w:b/>
          <w:sz w:val="26"/>
          <w:szCs w:val="26"/>
        </w:rPr>
        <w:t>Điều 1</w:t>
      </w:r>
      <w:r w:rsidR="000F7428">
        <w:rPr>
          <w:rFonts w:cs="Times New Roman"/>
          <w:b/>
          <w:sz w:val="26"/>
          <w:szCs w:val="26"/>
        </w:rPr>
        <w:t>0</w:t>
      </w:r>
      <w:r w:rsidRPr="00D703B5">
        <w:rPr>
          <w:rFonts w:cs="Times New Roman"/>
          <w:b/>
          <w:sz w:val="26"/>
          <w:szCs w:val="26"/>
        </w:rPr>
        <w:t>. Điều khoản thi hành</w:t>
      </w:r>
    </w:p>
    <w:tbl>
      <w:tblPr>
        <w:tblStyle w:val="TableGrid"/>
        <w:tblW w:w="13281" w:type="dxa"/>
        <w:jc w:val="center"/>
        <w:tblLayout w:type="fixed"/>
        <w:tblLook w:val="04A0" w:firstRow="1" w:lastRow="0" w:firstColumn="1" w:lastColumn="0" w:noHBand="0" w:noVBand="1"/>
      </w:tblPr>
      <w:tblGrid>
        <w:gridCol w:w="4371"/>
        <w:gridCol w:w="3965"/>
        <w:gridCol w:w="4945"/>
      </w:tblGrid>
      <w:tr w:rsidR="006D2EF6" w:rsidRPr="00D703B5" w:rsidTr="00ED26BD">
        <w:trPr>
          <w:tblHeader/>
          <w:jc w:val="center"/>
        </w:trPr>
        <w:tc>
          <w:tcPr>
            <w:tcW w:w="4371" w:type="dxa"/>
            <w:shd w:val="clear" w:color="auto" w:fill="D9EAF7"/>
            <w:tcMar>
              <w:top w:w="80" w:type="dxa"/>
              <w:left w:w="80" w:type="dxa"/>
              <w:bottom w:w="80" w:type="dxa"/>
              <w:right w:w="80" w:type="dxa"/>
            </w:tcMar>
          </w:tcPr>
          <w:p w:rsidR="000F7428" w:rsidRDefault="000F7428" w:rsidP="00744C54">
            <w:pPr>
              <w:spacing w:after="120" w:line="264" w:lineRule="auto"/>
              <w:jc w:val="center"/>
              <w:rPr>
                <w:rFonts w:cs="Times New Roman"/>
                <w:b/>
                <w:sz w:val="26"/>
                <w:szCs w:val="26"/>
              </w:rPr>
            </w:pPr>
          </w:p>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QUY PHẠM PHÁP LUẬT HIỆN HÀNH</w:t>
            </w:r>
          </w:p>
        </w:tc>
        <w:tc>
          <w:tcPr>
            <w:tcW w:w="3965"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DỰ THẢO VĂN BẢN</w:t>
            </w:r>
          </w:p>
        </w:tc>
        <w:tc>
          <w:tcPr>
            <w:tcW w:w="4945" w:type="dxa"/>
            <w:shd w:val="clear" w:color="auto" w:fill="D9EAF7"/>
            <w:tcMar>
              <w:top w:w="80" w:type="dxa"/>
              <w:left w:w="80" w:type="dxa"/>
              <w:bottom w:w="80" w:type="dxa"/>
              <w:right w:w="80" w:type="dxa"/>
            </w:tcMar>
          </w:tcPr>
          <w:p w:rsidR="006D2EF6" w:rsidRPr="00D703B5" w:rsidRDefault="00B52C27" w:rsidP="00744C54">
            <w:pPr>
              <w:spacing w:after="120" w:line="264" w:lineRule="auto"/>
              <w:jc w:val="center"/>
              <w:rPr>
                <w:rFonts w:cs="Times New Roman"/>
                <w:sz w:val="26"/>
                <w:szCs w:val="26"/>
              </w:rPr>
            </w:pPr>
            <w:r w:rsidRPr="00D703B5">
              <w:rPr>
                <w:rFonts w:cs="Times New Roman"/>
                <w:b/>
                <w:sz w:val="26"/>
                <w:szCs w:val="26"/>
              </w:rPr>
              <w:t>THUYẾT MINH</w:t>
            </w:r>
          </w:p>
        </w:tc>
      </w:tr>
      <w:tr w:rsidR="006D2EF6" w:rsidRPr="00D703B5" w:rsidTr="00ED26BD">
        <w:trPr>
          <w:jc w:val="center"/>
        </w:trPr>
        <w:tc>
          <w:tcPr>
            <w:tcW w:w="437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Nghị định số 78/2025/NĐ-CP quy định kỹ thuật viện dẫn văn bản quy phạm pháp luật.</w:t>
            </w:r>
          </w:p>
        </w:tc>
        <w:tc>
          <w:tcPr>
            <w:tcW w:w="396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1: khi văn bản viện dẫn được sửa đổi, bổ sung hoặc thay thế thì áp dụng văn bản, quy chuẩn, tiêu chuẩn sửa đổi, bổ sung, thay thế.</w:t>
            </w:r>
          </w:p>
        </w:tc>
        <w:tc>
          <w:tcPr>
            <w:tcW w:w="4945" w:type="dxa"/>
            <w:tcMar>
              <w:top w:w="80" w:type="dxa"/>
              <w:left w:w="80" w:type="dxa"/>
              <w:bottom w:w="80" w:type="dxa"/>
              <w:right w:w="80" w:type="dxa"/>
            </w:tcMar>
          </w:tcPr>
          <w:p w:rsidR="006D2EF6" w:rsidRPr="00D703B5" w:rsidRDefault="00ED26BD" w:rsidP="00744C54">
            <w:pPr>
              <w:spacing w:after="120" w:line="264" w:lineRule="auto"/>
              <w:jc w:val="both"/>
              <w:rPr>
                <w:rFonts w:cs="Times New Roman"/>
                <w:sz w:val="26"/>
                <w:szCs w:val="26"/>
              </w:rPr>
            </w:pPr>
            <w:r>
              <w:rPr>
                <w:rFonts w:cs="Times New Roman"/>
                <w:sz w:val="26"/>
                <w:szCs w:val="26"/>
              </w:rPr>
              <w:t>Quy định về việc áp dụng các quy định pháp luật trong trường hợp có các quy định khác điều chỉnh</w:t>
            </w:r>
          </w:p>
        </w:tc>
      </w:tr>
      <w:tr w:rsidR="006D2EF6" w:rsidRPr="00D703B5" w:rsidTr="00ED26BD">
        <w:trPr>
          <w:jc w:val="center"/>
        </w:trPr>
        <w:tc>
          <w:tcPr>
            <w:tcW w:w="4371"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Không có quy định cấp trên bắt buộc phải thiết lập thêm một thủ tục riêng để phản ánh vướng mắc.</w:t>
            </w:r>
          </w:p>
        </w:tc>
        <w:tc>
          <w:tcPr>
            <w:tcW w:w="396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Khoản 2: khó khăn, vướng mắc phản ánh bằng văn</w:t>
            </w:r>
            <w:bookmarkStart w:id="0" w:name="_GoBack"/>
            <w:bookmarkEnd w:id="0"/>
            <w:r w:rsidRPr="00D703B5">
              <w:rPr>
                <w:rFonts w:cs="Times New Roman"/>
                <w:sz w:val="26"/>
                <w:szCs w:val="26"/>
              </w:rPr>
              <w:t xml:space="preserve"> bản về Sở Xây dựng để tổng hợp, báo cáo UBND tỉnh.</w:t>
            </w:r>
          </w:p>
        </w:tc>
        <w:tc>
          <w:tcPr>
            <w:tcW w:w="4945" w:type="dxa"/>
            <w:tcMar>
              <w:top w:w="80" w:type="dxa"/>
              <w:left w:w="80" w:type="dxa"/>
              <w:bottom w:w="80" w:type="dxa"/>
              <w:right w:w="80" w:type="dxa"/>
            </w:tcMar>
          </w:tcPr>
          <w:p w:rsidR="006D2EF6" w:rsidRPr="00D703B5" w:rsidRDefault="00B52C27" w:rsidP="00744C54">
            <w:pPr>
              <w:spacing w:after="120" w:line="264" w:lineRule="auto"/>
              <w:jc w:val="both"/>
              <w:rPr>
                <w:rFonts w:cs="Times New Roman"/>
                <w:sz w:val="26"/>
                <w:szCs w:val="26"/>
              </w:rPr>
            </w:pPr>
            <w:r w:rsidRPr="00D703B5">
              <w:rPr>
                <w:rFonts w:cs="Times New Roman"/>
                <w:sz w:val="26"/>
                <w:szCs w:val="26"/>
              </w:rPr>
              <w:t>Đây là cơ chế phối hợp, tổng hợp trong tổ chức thi hành, không phải thủ tục hành chính. Có thể giữ nhưng nên cân nhắc bỏ cụm “bằng văn bản” nếu không cần thiết để tránh bị hiểu là phát sinh yêu cầu hình thức bắt buộc.</w:t>
            </w:r>
          </w:p>
        </w:tc>
      </w:tr>
    </w:tbl>
    <w:p w:rsidR="00ED26BD" w:rsidRDefault="00ED26BD" w:rsidP="00744C54">
      <w:pPr>
        <w:spacing w:after="120" w:line="264" w:lineRule="auto"/>
        <w:ind w:firstLine="720"/>
        <w:rPr>
          <w:rFonts w:cs="Times New Roman"/>
          <w:b/>
          <w:sz w:val="26"/>
          <w:szCs w:val="26"/>
        </w:rPr>
      </w:pPr>
    </w:p>
    <w:p w:rsidR="006D2EF6" w:rsidRPr="00D703B5" w:rsidRDefault="00B52C27" w:rsidP="00744C54">
      <w:pPr>
        <w:spacing w:after="120" w:line="264" w:lineRule="auto"/>
        <w:ind w:firstLine="720"/>
        <w:rPr>
          <w:rFonts w:cs="Times New Roman"/>
          <w:b/>
          <w:sz w:val="26"/>
          <w:szCs w:val="26"/>
        </w:rPr>
      </w:pPr>
      <w:r w:rsidRPr="00D703B5">
        <w:rPr>
          <w:rFonts w:cs="Times New Roman"/>
          <w:b/>
          <w:sz w:val="26"/>
          <w:szCs w:val="26"/>
        </w:rPr>
        <w:t xml:space="preserve">IV. THUYẾT MINH CHUNG </w:t>
      </w:r>
    </w:p>
    <w:tbl>
      <w:tblPr>
        <w:tblStyle w:val="TableGrid"/>
        <w:tblpPr w:leftFromText="180" w:rightFromText="180" w:vertAnchor="page" w:horzAnchor="margin" w:tblpX="506" w:tblpY="1971"/>
        <w:tblW w:w="12696" w:type="dxa"/>
        <w:tblLayout w:type="fixed"/>
        <w:tblLook w:val="04A0" w:firstRow="1" w:lastRow="0" w:firstColumn="1" w:lastColumn="0" w:noHBand="0" w:noVBand="1"/>
      </w:tblPr>
      <w:tblGrid>
        <w:gridCol w:w="2409"/>
        <w:gridCol w:w="10287"/>
      </w:tblGrid>
      <w:tr w:rsidR="00D703B5" w:rsidRPr="00D703B5" w:rsidTr="00ED26BD">
        <w:trPr>
          <w:trHeight w:val="212"/>
          <w:tblHeader/>
        </w:trPr>
        <w:tc>
          <w:tcPr>
            <w:tcW w:w="2409" w:type="dxa"/>
            <w:shd w:val="clear" w:color="auto" w:fill="D9EAF7"/>
            <w:tcMar>
              <w:top w:w="80" w:type="dxa"/>
              <w:left w:w="80" w:type="dxa"/>
              <w:bottom w:w="80" w:type="dxa"/>
              <w:right w:w="80" w:type="dxa"/>
            </w:tcMar>
          </w:tcPr>
          <w:p w:rsidR="00D703B5" w:rsidRPr="00D703B5" w:rsidRDefault="00D703B5" w:rsidP="00744C54">
            <w:pPr>
              <w:spacing w:after="120" w:line="264" w:lineRule="auto"/>
              <w:jc w:val="center"/>
              <w:rPr>
                <w:rFonts w:cs="Times New Roman"/>
                <w:sz w:val="26"/>
                <w:szCs w:val="26"/>
              </w:rPr>
            </w:pPr>
            <w:r w:rsidRPr="00D703B5">
              <w:rPr>
                <w:rFonts w:cs="Times New Roman"/>
                <w:b/>
                <w:sz w:val="26"/>
                <w:szCs w:val="26"/>
              </w:rPr>
              <w:lastRenderedPageBreak/>
              <w:t>NỘI DUNG RÀ SOÁT</w:t>
            </w:r>
          </w:p>
        </w:tc>
        <w:tc>
          <w:tcPr>
            <w:tcW w:w="10287" w:type="dxa"/>
            <w:shd w:val="clear" w:color="auto" w:fill="D9EAF7"/>
            <w:tcMar>
              <w:top w:w="80" w:type="dxa"/>
              <w:left w:w="80" w:type="dxa"/>
              <w:bottom w:w="80" w:type="dxa"/>
              <w:right w:w="80" w:type="dxa"/>
            </w:tcMar>
          </w:tcPr>
          <w:p w:rsidR="00D703B5" w:rsidRPr="00D703B5" w:rsidRDefault="00D703B5" w:rsidP="00744C54">
            <w:pPr>
              <w:spacing w:after="120" w:line="264" w:lineRule="auto"/>
              <w:jc w:val="center"/>
              <w:rPr>
                <w:rFonts w:cs="Times New Roman"/>
                <w:sz w:val="26"/>
                <w:szCs w:val="26"/>
              </w:rPr>
            </w:pPr>
            <w:r w:rsidRPr="00D703B5">
              <w:rPr>
                <w:rFonts w:cs="Times New Roman"/>
                <w:b/>
                <w:sz w:val="26"/>
                <w:szCs w:val="26"/>
              </w:rPr>
              <w:t>KẾT QUẢ THUYẾT MINH</w:t>
            </w:r>
          </w:p>
        </w:tc>
      </w:tr>
      <w:tr w:rsidR="00D703B5" w:rsidRPr="00D703B5" w:rsidTr="00ED26BD">
        <w:trPr>
          <w:trHeight w:val="185"/>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Phân quyền</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Không phát sinh. Dự thảo thực hiện nhiệm vụ Chính phủ đã giao trực tiếp cho UBND tỉnh tại khoản 1 Điều 22 và điểm c khoản 2 Điều 56 Nghị định số 358/2025/NĐ-CP.</w:t>
            </w:r>
          </w:p>
        </w:tc>
      </w:tr>
      <w:tr w:rsidR="00D703B5" w:rsidRPr="00D703B5" w:rsidTr="00ED26BD">
        <w:trPr>
          <w:trHeight w:val="399"/>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Phân cấp</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Không phát sinh nội dung phân cấp mới trong bản chất dự thảo hiện tại. Việc giao Sở Xây dựng, Sở Nông nghiệp và Môi trường hướng dẫn, kiểm tra là phân công tổ chức thực hiện theo chức năng. Nhiệm vụ UBND cấp xã tại Điều 22 Nghị định số 358/2025/NĐ-CP đã do Chính phủ quy định trực tiếp.</w:t>
            </w:r>
          </w:p>
        </w:tc>
      </w:tr>
      <w:tr w:rsidR="00D703B5" w:rsidRPr="00D703B5" w:rsidTr="00ED26BD">
        <w:trPr>
          <w:trHeight w:val="399"/>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Thủ tục hành chính</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Không quy định TTHC mới. Các biểu mẫu Điều 9 là công cụ ghi chép, quản lý, báo cáo quá trình bảo trì, không phải hồ sơ đề nghị giải quyết TTHC. Tuy nhiên cần tránh quy định thêm nghĩa vụ “nộp”, “xin xác nhận”, “phê duyệt” ngoài Nghị định 358 nếu không có căn cứ.</w:t>
            </w:r>
          </w:p>
        </w:tc>
      </w:tr>
      <w:tr w:rsidR="00D703B5" w:rsidRPr="00D703B5" w:rsidTr="00ED26BD">
        <w:trPr>
          <w:trHeight w:val="399"/>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Khoa học, công nghệ, đổi mới sáng tạo, chuyển đổi số</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Dự thảo không có quy định riêng về các nội dung này. Việc sử dụng thiết bị kiểm tra, đo đạc là giải pháp kỹ thuật bảo trì, chưa phải chính sách khoa học, công nghệ hoặc chuyển đổi số.</w:t>
            </w:r>
          </w:p>
        </w:tc>
      </w:tr>
      <w:tr w:rsidR="00D703B5" w:rsidRPr="00D703B5" w:rsidTr="00ED26BD">
        <w:trPr>
          <w:trHeight w:val="199"/>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Bình đẳng giới</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Dự thảo áp dụng chung cho cơ quan, tổ chức, cộng đồng và cá nhân tham gia bảo trì; không có quy định tạo sự khác biệt về quyền, nghĩa vụ theo giới.</w:t>
            </w:r>
          </w:p>
        </w:tc>
      </w:tr>
      <w:tr w:rsidR="00D703B5" w:rsidRPr="00D703B5" w:rsidTr="00ED26BD">
        <w:trPr>
          <w:trHeight w:val="199"/>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Chính sách dân tộc</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Dự thảo không thiết lập chính sách riêng theo thành phần dân tộc; quy trình được áp dụng thống nhất cho các công trình thuộc phạm vi CTMTQG trên địa bàn tỉnh.</w:t>
            </w:r>
          </w:p>
        </w:tc>
      </w:tr>
      <w:tr w:rsidR="00D703B5" w:rsidRPr="00D703B5" w:rsidTr="00ED26BD">
        <w:trPr>
          <w:trHeight w:val="598"/>
        </w:trPr>
        <w:tc>
          <w:tcPr>
            <w:tcW w:w="2409"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b/>
                <w:sz w:val="26"/>
                <w:szCs w:val="26"/>
              </w:rPr>
              <w:t>Kết luận chung</w:t>
            </w:r>
          </w:p>
        </w:tc>
        <w:tc>
          <w:tcPr>
            <w:tcW w:w="10287" w:type="dxa"/>
            <w:tcMar>
              <w:top w:w="80" w:type="dxa"/>
              <w:left w:w="80" w:type="dxa"/>
              <w:bottom w:w="80" w:type="dxa"/>
              <w:right w:w="80" w:type="dxa"/>
            </w:tcMar>
          </w:tcPr>
          <w:p w:rsidR="00D703B5" w:rsidRPr="00D703B5" w:rsidRDefault="00D703B5" w:rsidP="00744C54">
            <w:pPr>
              <w:spacing w:after="120" w:line="264" w:lineRule="auto"/>
              <w:jc w:val="both"/>
              <w:rPr>
                <w:rFonts w:cs="Times New Roman"/>
                <w:sz w:val="26"/>
                <w:szCs w:val="26"/>
              </w:rPr>
            </w:pPr>
            <w:r w:rsidRPr="00D703B5">
              <w:rPr>
                <w:rFonts w:cs="Times New Roman"/>
                <w:sz w:val="26"/>
                <w:szCs w:val="26"/>
              </w:rPr>
              <w:t xml:space="preserve">Dự thảo có cơ sở pháp lý trực tiếp tại Điều 22 và điểm c khoản 2 Điều 56 Nghị định số 358/2025/NĐ-CP; nội dung cơ bản bao quát các thành phần Chính phủ yêu cầu. Tuy nhiên, trước khi gửi thẩm định cần tiếp tục chỉnh các vấn đề về căn cứ ban hành; chu kỳ 10 năm/05 năm và 05 năm; kiểm định 05 năm/lần; các trị số kỹ thuật chưa rõ nguồn; thời hạn thay thế thiết bị; tên Điều 6; chủ thể tại Điều 7; trách nhiệm UBND cấp xã và cơ chế kinh phí tại Điều 10; nội dung </w:t>
            </w:r>
            <w:r w:rsidRPr="00D703B5">
              <w:rPr>
                <w:rFonts w:cs="Times New Roman"/>
                <w:sz w:val="26"/>
                <w:szCs w:val="26"/>
              </w:rPr>
              <w:lastRenderedPageBreak/>
              <w:t>trùng lặp giữa Điều 2 Quyết định và Điều 11 Quy định.</w:t>
            </w:r>
          </w:p>
        </w:tc>
      </w:tr>
    </w:tbl>
    <w:p w:rsidR="00D703B5" w:rsidRPr="00D703B5" w:rsidRDefault="00D703B5" w:rsidP="00744C54">
      <w:pPr>
        <w:spacing w:after="120" w:line="264" w:lineRule="auto"/>
        <w:rPr>
          <w:rFonts w:cs="Times New Roman"/>
          <w:sz w:val="26"/>
          <w:szCs w:val="26"/>
        </w:rPr>
      </w:pPr>
    </w:p>
    <w:sectPr w:rsidR="00D703B5" w:rsidRPr="00D703B5" w:rsidSect="00847E14">
      <w:footerReference w:type="default" r:id="rId8"/>
      <w:pgSz w:w="15840" w:h="12240" w:orient="landscape"/>
      <w:pgMar w:top="1021" w:right="1021" w:bottom="1021"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CBA" w:rsidRDefault="00636CBA">
      <w:pPr>
        <w:spacing w:line="240" w:lineRule="auto"/>
      </w:pPr>
      <w:r>
        <w:separator/>
      </w:r>
    </w:p>
  </w:endnote>
  <w:endnote w:type="continuationSeparator" w:id="0">
    <w:p w:rsidR="00636CBA" w:rsidRDefault="00636C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F6" w:rsidRDefault="006D2EF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CBA" w:rsidRDefault="00636CBA">
      <w:pPr>
        <w:spacing w:line="240" w:lineRule="auto"/>
      </w:pPr>
      <w:r>
        <w:separator/>
      </w:r>
    </w:p>
  </w:footnote>
  <w:footnote w:type="continuationSeparator" w:id="0">
    <w:p w:rsidR="00636CBA" w:rsidRDefault="00636C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534"/>
    <w:rsid w:val="00034616"/>
    <w:rsid w:val="0006063C"/>
    <w:rsid w:val="000C5762"/>
    <w:rsid w:val="000F7428"/>
    <w:rsid w:val="0015074B"/>
    <w:rsid w:val="0029639D"/>
    <w:rsid w:val="00326F90"/>
    <w:rsid w:val="00330E82"/>
    <w:rsid w:val="00511005"/>
    <w:rsid w:val="005235D5"/>
    <w:rsid w:val="005C3723"/>
    <w:rsid w:val="00636CBA"/>
    <w:rsid w:val="006D2EF6"/>
    <w:rsid w:val="006F495C"/>
    <w:rsid w:val="00744C54"/>
    <w:rsid w:val="007860DD"/>
    <w:rsid w:val="00804E0D"/>
    <w:rsid w:val="00847E14"/>
    <w:rsid w:val="00AA1D8D"/>
    <w:rsid w:val="00B47730"/>
    <w:rsid w:val="00B52C27"/>
    <w:rsid w:val="00CB0664"/>
    <w:rsid w:val="00CD148F"/>
    <w:rsid w:val="00D703B5"/>
    <w:rsid w:val="00DA2B7A"/>
    <w:rsid w:val="00E00D36"/>
    <w:rsid w:val="00EA198F"/>
    <w:rsid w:val="00ED26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9CAD23"/>
  <w14:defaultImageDpi w14:val="330"/>
  <w15:docId w15:val="{502869AA-F34B-4A3F-BC35-1FCD9EC7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52"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47D64-B967-4953-8994-5DBBE57A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12</Pages>
  <Words>2491</Words>
  <Characters>14201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2026-10-16T09:16:00Z</dcterms:modified>
  <cp:category/>
</cp:coreProperties>
</file>