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3A2DC">
      <w:pP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mc:AlternateContent>
          <mc:Choice Requires="wps">
            <w:drawing>
              <wp:anchor distT="0" distB="0" distL="114300" distR="114300" simplePos="0" relativeHeight="251659264" behindDoc="0" locked="0" layoutInCell="1" allowOverlap="1">
                <wp:simplePos x="0" y="0"/>
                <wp:positionH relativeFrom="column">
                  <wp:posOffset>440055</wp:posOffset>
                </wp:positionH>
                <wp:positionV relativeFrom="paragraph">
                  <wp:posOffset>248285</wp:posOffset>
                </wp:positionV>
                <wp:extent cx="1470025" cy="0"/>
                <wp:effectExtent l="0" t="0" r="0" b="0"/>
                <wp:wrapNone/>
                <wp:docPr id="1751120715" name="Straight Connector 1"/>
                <wp:cNvGraphicFramePr/>
                <a:graphic xmlns:a="http://schemas.openxmlformats.org/drawingml/2006/main">
                  <a:graphicData uri="http://schemas.microsoft.com/office/word/2010/wordprocessingShape">
                    <wps:wsp>
                      <wps:cNvCnPr/>
                      <wps:spPr>
                        <a:xfrm>
                          <a:off x="0" y="0"/>
                          <a:ext cx="147007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o:spt="20" style="position:absolute;left:0pt;margin-left:34.65pt;margin-top:19.55pt;height:0pt;width:115.75pt;z-index:251659264;mso-width-relative:page;mso-height-relative:page;" filled="f" stroked="t" coordsize="21600,21600" o:gfxdata="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MNN9I1wAAAAgBAAAP&#10;AAAAAAAAAAEAIAAAACIAAABkcnMvZG93bnJldi54bWxQSwECFAAUAAAACACHTuJA+hMadOABAAC9&#10;AwAADgAAAAAAAAABACAAAAAmAQAAZHJzL2Uyb0RvYy54bWxQSwUGAAAAAAYABgBZAQAAeAUAAAAA&#10;">
                <v:fill on="f" focussize="0,0"/>
                <v:stroke weight="0.5pt" color="#4472C4 [3204]" miterlimit="8" joinstyle="miter"/>
                <v:imagedata o:title=""/>
                <o:lock v:ext="edit" aspectratio="f"/>
              </v:line>
            </w:pict>
          </mc:Fallback>
        </mc:AlternateContent>
      </w:r>
      <w:r>
        <w:rPr>
          <w:rFonts w:ascii="Times New Roman" w:hAnsi="Times New Roman" w:cs="Times New Roman"/>
          <w:b/>
          <w:bCs/>
          <w:sz w:val="28"/>
          <w:szCs w:val="28"/>
        </w:rPr>
        <w:t xml:space="preserve">    SỞ NỘI VỤ TỈNH HÀ TĨNH</w:t>
      </w:r>
    </w:p>
    <w:p w14:paraId="5FDED5BE">
      <w:pPr>
        <w:jc w:val="center"/>
        <w:rPr>
          <w:rFonts w:ascii="Times New Roman" w:hAnsi="Times New Roman" w:cs="Times New Roman"/>
          <w:b/>
          <w:bCs/>
          <w:sz w:val="28"/>
          <w:szCs w:val="28"/>
        </w:rPr>
      </w:pPr>
    </w:p>
    <w:p w14:paraId="1B25DAC4">
      <w:pPr>
        <w:jc w:val="center"/>
        <w:rPr>
          <w:rFonts w:ascii="Times New Roman" w:hAnsi="Times New Roman" w:cs="Times New Roman"/>
          <w:b/>
          <w:bCs/>
          <w:sz w:val="28"/>
          <w:szCs w:val="28"/>
        </w:rPr>
      </w:pPr>
      <w:r>
        <w:rPr>
          <w:rFonts w:ascii="Times New Roman" w:hAnsi="Times New Roman" w:cs="Times New Roman"/>
          <w:b/>
          <w:bCs/>
          <w:sz w:val="28"/>
          <w:szCs w:val="28"/>
        </w:rPr>
        <w:t>BẢNG SO SÁNH, THUYẾT MINH NỘI DUNG DỰ THẢO</w:t>
      </w:r>
    </w:p>
    <w:p w14:paraId="37DB51C2">
      <w:pPr>
        <w:jc w:val="center"/>
        <w:rPr>
          <w:rFonts w:ascii="Times New Roman" w:hAnsi="Times New Roman" w:cs="Times New Roman"/>
          <w:i/>
          <w:iCs/>
          <w:sz w:val="28"/>
          <w:szCs w:val="28"/>
        </w:rPr>
      </w:pPr>
      <w:r>
        <w:rPr>
          <w:rFonts w:ascii="Times New Roman" w:hAnsi="Times New Roman" w:cs="Times New Roman"/>
          <w:i/>
          <w:iCs/>
          <w:sz w:val="28"/>
          <w:szCs w:val="28"/>
        </w:rPr>
        <w:t>(So sánh các nội dung tại Quyết định số 04/2015/QD-UBND ngày 21/01/2015 và dự thảo Quyết định)</w:t>
      </w:r>
    </w:p>
    <w:tbl>
      <w:tblPr>
        <w:tblStyle w:val="14"/>
        <w:tblW w:w="148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88"/>
        <w:gridCol w:w="3363"/>
        <w:gridCol w:w="3209"/>
        <w:gridCol w:w="5040"/>
      </w:tblGrid>
      <w:tr w14:paraId="21FC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4E36A2F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TT</w:t>
            </w:r>
          </w:p>
        </w:tc>
        <w:tc>
          <w:tcPr>
            <w:tcW w:w="2288" w:type="dxa"/>
          </w:tcPr>
          <w:p w14:paraId="211781F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Nội dung so sánh</w:t>
            </w:r>
          </w:p>
        </w:tc>
        <w:tc>
          <w:tcPr>
            <w:tcW w:w="3363" w:type="dxa"/>
          </w:tcPr>
          <w:p w14:paraId="6ABCF94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Quy định tại Quyết định số 04/2015/QĐ-UBND</w:t>
            </w:r>
          </w:p>
        </w:tc>
        <w:tc>
          <w:tcPr>
            <w:tcW w:w="3209" w:type="dxa"/>
          </w:tcPr>
          <w:p w14:paraId="6EB501C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Nội dung đề xuất tại dự thảo mới</w:t>
            </w:r>
          </w:p>
        </w:tc>
        <w:tc>
          <w:tcPr>
            <w:tcW w:w="5040" w:type="dxa"/>
          </w:tcPr>
          <w:p w14:paraId="630AB33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Thuyết minh lý do, sự cần thiết</w:t>
            </w:r>
          </w:p>
        </w:tc>
      </w:tr>
      <w:tr w14:paraId="460F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2BAA5AB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288" w:type="dxa"/>
          </w:tcPr>
          <w:p w14:paraId="416663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Tên gọi và phạm vi điều chỉnh</w:t>
            </w:r>
          </w:p>
        </w:tc>
        <w:tc>
          <w:tcPr>
            <w:tcW w:w="3363" w:type="dxa"/>
          </w:tcPr>
          <w:p w14:paraId="0FF3351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chế quản lý, sử dụng các công trình ghi công liệt sĩ trên địa bàn tỉnh Hà Tĩnh.</w:t>
            </w:r>
          </w:p>
        </w:tc>
        <w:tc>
          <w:tcPr>
            <w:tcW w:w="3209" w:type="dxa"/>
          </w:tcPr>
          <w:p w14:paraId="0048190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chế quản lý công trình ghi công liệt sĩ, mộ liệt sĩ trên địa bàn tỉnh Hà Tĩnh.</w:t>
            </w:r>
          </w:p>
        </w:tc>
        <w:tc>
          <w:tcPr>
            <w:tcW w:w="5040" w:type="dxa"/>
          </w:tcPr>
          <w:p w14:paraId="4302309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Điều chỉnh tên gọi theo hướng bao quát, cụ thể hơn đối với cả công trình ghi công liệt sĩ và mộ liệt sĩ; làm rõ đối tượng cần quản lý, bảo vệ, chăm sóc và duy tu thường xuyên.</w:t>
            </w:r>
          </w:p>
        </w:tc>
      </w:tr>
      <w:tr w14:paraId="3B62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2516B2F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288" w:type="dxa"/>
          </w:tcPr>
          <w:p w14:paraId="72DCBC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Căn cứ pháp lý</w:t>
            </w:r>
          </w:p>
        </w:tc>
        <w:tc>
          <w:tcPr>
            <w:tcW w:w="3363" w:type="dxa"/>
          </w:tcPr>
          <w:p w14:paraId="193442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Được xây dựng trên cơ sở hệ thống pháp luật về ưu đãi người có công với cách mạng tại thời điểm năm 2015</w:t>
            </w:r>
          </w:p>
        </w:tc>
        <w:tc>
          <w:tcPr>
            <w:tcW w:w="3209" w:type="dxa"/>
          </w:tcPr>
          <w:p w14:paraId="04E965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Rà soát, cập nhật các quy định hiện hành về ưu đãi người có công với cách mạng, tổ chức chính quyền địa phương 02 cấp, ngân sách nhà nước, quản lý tài sản công, đầu tư xây dựng và các lĩnh vực có liên quan.</w:t>
            </w:r>
          </w:p>
        </w:tc>
        <w:tc>
          <w:tcPr>
            <w:tcW w:w="5040" w:type="dxa"/>
          </w:tcPr>
          <w:p w14:paraId="08E7B04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Bảo đảm tính hợp hiến, hợp pháp, thống nhất và đồng bộ của văn bản; khắc phục những nội dung không còn phù hợp với quy định pháp luật hiện hành.</w:t>
            </w:r>
          </w:p>
        </w:tc>
      </w:tr>
      <w:tr w14:paraId="46E3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1EBE2AE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288" w:type="dxa"/>
          </w:tcPr>
          <w:p w14:paraId="0080FB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Phạm vi, đối tượng áp dụng</w:t>
            </w:r>
          </w:p>
        </w:tc>
        <w:tc>
          <w:tcPr>
            <w:tcW w:w="3363" w:type="dxa"/>
          </w:tcPr>
          <w:p w14:paraId="6F3647F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định chung về quản lý, sử dụng các công trình ghi công liệt sĩ; đối tượng áp dụng là các tổ chức, cá nhân có liên quan.</w:t>
            </w:r>
          </w:p>
        </w:tc>
        <w:tc>
          <w:tcPr>
            <w:tcW w:w="3209" w:type="dxa"/>
          </w:tcPr>
          <w:p w14:paraId="10748E8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Xác định cụ thể các cơ quan chuyên môn cấp tỉnh, UBND cấp xã, đơn vị được giao quản lý trực tiếp, tổ chức và cá nhân tham gia quản lý, bảo vệ, chăm sóc công trình.</w:t>
            </w:r>
          </w:p>
        </w:tc>
        <w:tc>
          <w:tcPr>
            <w:tcW w:w="5040" w:type="dxa"/>
          </w:tcPr>
          <w:p w14:paraId="628C99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Làm rõ chủ thể chịu trách nhiệm, đối tượng phối hợp và trách nhiệm của tổ chức, cá nhân; hạn chế tình trạng chồng chéo hoặc chưa xác định rõ đầu mối quản lý</w:t>
            </w:r>
          </w:p>
        </w:tc>
      </w:tr>
      <w:tr w14:paraId="00C9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5BC979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288" w:type="dxa"/>
          </w:tcPr>
          <w:p w14:paraId="5B40F36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Phân cấp, phân công trách nhiệm quản lý</w:t>
            </w:r>
          </w:p>
        </w:tc>
        <w:tc>
          <w:tcPr>
            <w:tcW w:w="3363" w:type="dxa"/>
          </w:tcPr>
          <w:p w14:paraId="65C7308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định được xây dựng trong bối cảnh tổ chức chính quyền địa phương có cấp huyện, cấp xã; trách nhiệm được xác định theo mô hình tổ chức tại thời điểm ban hành</w:t>
            </w:r>
          </w:p>
        </w:tc>
        <w:tc>
          <w:tcPr>
            <w:tcW w:w="3209" w:type="dxa"/>
          </w:tcPr>
          <w:p w14:paraId="259D91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Phân định nhiệm vụ giữa UBND tỉnh, Sở Nội vụ, các sở, ngành liên quan và UBND cấp xã; xác định rõ trách nhiệm quản lý trực tiếp theo từng loại công trình.</w:t>
            </w:r>
          </w:p>
        </w:tc>
        <w:tc>
          <w:tcPr>
            <w:tcW w:w="5040" w:type="dxa"/>
          </w:tcPr>
          <w:p w14:paraId="28D14ED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Phù hợp với mô hình chính quyền địa phương 02 cấp; cập nhật chức năng, nhiệm vụ, thẩm quyền sau sắp xếp tổ chức bộ máy, bảo đảm công việc quản lý được thực hiện liên tục, không gián đoạn.</w:t>
            </w:r>
          </w:p>
        </w:tc>
      </w:tr>
      <w:tr w14:paraId="5EC5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27B847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288" w:type="dxa"/>
          </w:tcPr>
          <w:p w14:paraId="6396BB9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Quản lý, bảo vệ và sử dụng công trình</w:t>
            </w:r>
          </w:p>
        </w:tc>
        <w:tc>
          <w:tcPr>
            <w:tcW w:w="3363" w:type="dxa"/>
          </w:tcPr>
          <w:p w14:paraId="28A74C8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định nguyên tắc và trách nhiệm quản lý, sử dụng công trình ghi công liệt sĩ.</w:t>
            </w:r>
          </w:p>
        </w:tc>
        <w:tc>
          <w:tcPr>
            <w:tcW w:w="3209" w:type="dxa"/>
          </w:tcPr>
          <w:p w14:paraId="353075A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Bổ sung, cụ thể hóa việc bảo vệ khuôn viên, phần mộ, bia mộ, bia ghi danh, tượng đài, nhà bia, đài tưởng niệm và các hạng mục phụ trợ; quy định việc sử dụng đúng mục đích, bảo đảm trang nghiêm.</w:t>
            </w:r>
          </w:p>
        </w:tc>
        <w:tc>
          <w:tcPr>
            <w:tcW w:w="5040" w:type="dxa"/>
          </w:tcPr>
          <w:p w14:paraId="1F1E0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Tăng cường bảo vệ giá trị lịch sử, văn hóa và ý nghĩa tri ân; phòng ngừa việc lấn chiếm, sử dụng sai mục đích, làm hư hỏng hoặc ảnh hưởng đến cảnh quan công trình.</w:t>
            </w:r>
          </w:p>
        </w:tc>
      </w:tr>
      <w:tr w14:paraId="1155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5A6BE3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288" w:type="dxa"/>
          </w:tcPr>
          <w:p w14:paraId="78111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Chăm sóc, vệ sinh và duy tu thường xuyên</w:t>
            </w:r>
          </w:p>
        </w:tc>
        <w:tc>
          <w:tcPr>
            <w:tcW w:w="3363" w:type="dxa"/>
          </w:tcPr>
          <w:p w14:paraId="4347C16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Nội dung được quy định theo yêu cầu quản lý, sử dụng công trình trong điều kiện thực tế trước đây</w:t>
            </w:r>
          </w:p>
        </w:tc>
        <w:tc>
          <w:tcPr>
            <w:tcW w:w="3209" w:type="dxa"/>
          </w:tcPr>
          <w:p w14:paraId="32D353A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định cụ thể việc vệ sinh, chăm sóc cây xanh, cảnh quan; kiểm tra tình trạng công trình, phần mộ, hệ thống điện, nước, tường rào, đường nội bộ và các hạng mục liên quan.</w:t>
            </w:r>
          </w:p>
        </w:tc>
        <w:tc>
          <w:tcPr>
            <w:tcW w:w="5040" w:type="dxa"/>
          </w:tcPr>
          <w:p w14:paraId="703DE3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Nâng cao chất lượng quản lý thường xuyên; kịp thời phát hiện hư hỏng, xuống cấp, bảo đảm các công trình luôn sạch đẹp, an toàn và phục vụ tốt nhu cầu thăm viếng.</w:t>
            </w:r>
          </w:p>
        </w:tc>
      </w:tr>
      <w:tr w14:paraId="6B2B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62F093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288" w:type="dxa"/>
          </w:tcPr>
          <w:p w14:paraId="4244669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Sửa chữa, cải tạo, nâng cấp và tôn tạo</w:t>
            </w:r>
          </w:p>
        </w:tc>
        <w:tc>
          <w:tcPr>
            <w:tcW w:w="3363" w:type="dxa"/>
          </w:tcPr>
          <w:p w14:paraId="552108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Thực hiện theo các quy định và cơ chế quản lý áp dụng tại thời điểm ban hành Quyết định năm 2015.</w:t>
            </w:r>
          </w:p>
        </w:tc>
        <w:tc>
          <w:tcPr>
            <w:tcW w:w="3209" w:type="dxa"/>
          </w:tcPr>
          <w:p w14:paraId="6F53A9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Làm rõ trách nhiệm rà soát, đề xuất nhu cầu, lập kế hoạch, xác định nguồn kinh phí, tổ chức thực hiện và nghiệm thu theo thẩm quyền, trình tự pháp luật</w:t>
            </w:r>
          </w:p>
        </w:tc>
        <w:tc>
          <w:tcPr>
            <w:tcW w:w="5040" w:type="dxa"/>
          </w:tcPr>
          <w:p w14:paraId="779D5DF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ạo cơ sở phối hợp giữa cơ quan quản lý và đơn vị trực tiếp sử dụng; bảo đảm việc sửa chữa, nâng cấp được thực hiện đúng thẩm quyền, đúng quy định, tránh hư hỏng kéo dài hoặc đầu tư không đồng bộ.</w:t>
            </w:r>
          </w:p>
        </w:tc>
      </w:tr>
      <w:tr w14:paraId="21CF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215D65E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2288" w:type="dxa"/>
          </w:tcPr>
          <w:p w14:paraId="171BAF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Kinh phí quản lý và nguồn lực thực hiện</w:t>
            </w:r>
          </w:p>
        </w:tc>
        <w:tc>
          <w:tcPr>
            <w:tcW w:w="3363" w:type="dxa"/>
          </w:tcPr>
          <w:p w14:paraId="1C27C39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Thực hiện theo các quy định về kinh phí có liên quan tại thời điểm ban hành.</w:t>
            </w:r>
          </w:p>
        </w:tc>
        <w:tc>
          <w:tcPr>
            <w:tcW w:w="3209" w:type="dxa"/>
          </w:tcPr>
          <w:p w14:paraId="3C887E9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Xác định nguyên tắc bố trí kinh phí từ ngân sách nhà nước theo phân cấp ngân sách và các nguồn hợp pháp khác; khuyến khích huy động nguồn lực xã hội hóa tự nguyện, công khai, minh bạch.</w:t>
            </w:r>
          </w:p>
        </w:tc>
        <w:tc>
          <w:tcPr>
            <w:tcW w:w="5040" w:type="dxa"/>
          </w:tcPr>
          <w:p w14:paraId="5B6DE3F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Tạo cơ sở chủ động lập dự toán, phân bổ, quản lý và sử dụng kinh phí; phát huy nguồn lực cộng đồng nhưng không làm phát sinh nghĩa vụ đóng góp bắt buộc trái quy định.</w:t>
            </w:r>
          </w:p>
        </w:tc>
      </w:tr>
      <w:tr w14:paraId="7C3D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2D9EAD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2288" w:type="dxa"/>
          </w:tcPr>
          <w:p w14:paraId="3B757E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Hồ sơ, dữ liệu và quản lý phần mộ liệt sĩ</w:t>
            </w:r>
          </w:p>
        </w:tc>
        <w:tc>
          <w:tcPr>
            <w:tcW w:w="3363" w:type="dxa"/>
          </w:tcPr>
          <w:p w14:paraId="257555E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định quản lý công trình ghi công theo khuôn khổ pháp luật và điều kiện quản lý trước đây.</w:t>
            </w:r>
          </w:p>
        </w:tc>
        <w:tc>
          <w:tcPr>
            <w:tcW w:w="3209" w:type="dxa"/>
          </w:tcPr>
          <w:p w14:paraId="216DD13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ăng cường cập nhật hồ sơ quản lý công trình, sơ đồ phần mộ, thông tin liệt sĩ, hiện trạng tài sản và các tài liệu liên quan; thực hiện việc bàn giao hồ sơ khi thay đổi cơ quan hoặc đơn vị quản lý.</w:t>
            </w:r>
          </w:p>
        </w:tc>
        <w:tc>
          <w:tcPr>
            <w:tcW w:w="5040" w:type="dxa"/>
          </w:tcPr>
          <w:p w14:paraId="0D010C3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Bảo đảm thông tin được lưu trữ đầy đủ, thống nhất, thuận tiện cho việc kiểm tra, xác minh, tu bổ, tìm kiếm và phục vụ thân nhân liệt sĩ đến thăm viếng.</w:t>
            </w:r>
          </w:p>
        </w:tc>
      </w:tr>
      <w:tr w14:paraId="228E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4402FC4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2288" w:type="dxa"/>
          </w:tcPr>
          <w:p w14:paraId="4194FC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Kiểm tra, giám sát và xử lý vi phạm</w:t>
            </w:r>
          </w:p>
        </w:tc>
        <w:tc>
          <w:tcPr>
            <w:tcW w:w="3363" w:type="dxa"/>
          </w:tcPr>
          <w:p w14:paraId="0B9A0BC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Thực hiện theo các quy định chung có liên quan.</w:t>
            </w:r>
          </w:p>
        </w:tc>
        <w:tc>
          <w:tcPr>
            <w:tcW w:w="3209" w:type="dxa"/>
          </w:tcPr>
          <w:p w14:paraId="2FC3BB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 định trách nhiệm kiểm tra định kỳ, kiểm tra khi có dấu hiệu bất thường; tiếp nhận và xử lý phản ánh; kịp thời kiến nghị cơ quan có thẩm quyền xử lý vi phạm.</w:t>
            </w:r>
          </w:p>
        </w:tc>
        <w:tc>
          <w:tcPr>
            <w:tcW w:w="5040" w:type="dxa"/>
          </w:tcPr>
          <w:p w14:paraId="02EB93B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Nâng cao hiệu lực quản lý nhà nước, tăng cường trách nhiệm của đơn vị được giao quản lý và bảo đảm việc chấp hành quy định về bảo vệ công trình ghi công liệt sĩ.</w:t>
            </w:r>
          </w:p>
        </w:tc>
      </w:tr>
      <w:tr w14:paraId="3431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88" w:type="dxa"/>
          </w:tcPr>
          <w:p w14:paraId="17A7591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2288" w:type="dxa"/>
          </w:tcPr>
          <w:p w14:paraId="0A1213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Tổ chức thực hiện và chuyển tiếp</w:t>
            </w:r>
          </w:p>
        </w:tc>
        <w:tc>
          <w:tcPr>
            <w:tcW w:w="3363" w:type="dxa"/>
          </w:tcPr>
          <w:p w14:paraId="7270286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Quyết định năm 2015 xác định trách nhiệm thi hành của các cơ quan, đơn vị và UBND cấp huyện, cấp xã theo cơ cấu tổ chức lúc ban hành</w:t>
            </w:r>
          </w:p>
        </w:tc>
        <w:tc>
          <w:tcPr>
            <w:tcW w:w="3209" w:type="dxa"/>
          </w:tcPr>
          <w:p w14:paraId="53CA5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Xác định trách nhiệm thi hành của cơ quan chuyên môn cấp tỉnh, UBND cấp xã và các đơn vị liên quan; quy định việc tiếp nhận, bàn giao công trình, hồ sơ, tài sản và kinh phí đang quản lý.</w:t>
            </w:r>
          </w:p>
        </w:tc>
        <w:tc>
          <w:tcPr>
            <w:tcW w:w="5040" w:type="dxa"/>
          </w:tcPr>
          <w:p w14:paraId="147A559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Bảo đảm thống nhất trong triển khai sau sắp xếp đơn vị hành chính; hạn chế bỏ sót nhiệm vụ, thất lạc hồ sơ hoặc gián đoạn công tác chăm sóc, bảo vệ công trình.</w:t>
            </w:r>
          </w:p>
        </w:tc>
      </w:tr>
    </w:tbl>
    <w:p w14:paraId="6395900E">
      <w:pPr>
        <w:jc w:val="center"/>
        <w:rPr>
          <w:rFonts w:ascii="Times New Roman" w:hAnsi="Times New Roman" w:cs="Times New Roman"/>
          <w:sz w:val="28"/>
          <w:szCs w:val="28"/>
        </w:rPr>
      </w:pPr>
    </w:p>
    <w:sectPr>
      <w:pgSz w:w="16840" w:h="11907" w:orient="landscape"/>
      <w:pgMar w:top="993" w:right="1673" w:bottom="851" w:left="1134" w:header="76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drawingGridHorizontalSpacing w:val="110"/>
  <w:drawingGridVerticalSpacing w:val="299"/>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E73"/>
    <w:rsid w:val="00141DA6"/>
    <w:rsid w:val="001E3CE3"/>
    <w:rsid w:val="0020575C"/>
    <w:rsid w:val="00244865"/>
    <w:rsid w:val="00302B1C"/>
    <w:rsid w:val="00312D54"/>
    <w:rsid w:val="00356973"/>
    <w:rsid w:val="005A4C57"/>
    <w:rsid w:val="00856C0E"/>
    <w:rsid w:val="008E6310"/>
    <w:rsid w:val="009F3F70"/>
    <w:rsid w:val="00A06141"/>
    <w:rsid w:val="00AF39C7"/>
    <w:rsid w:val="00C14E73"/>
    <w:rsid w:val="00C27BCE"/>
    <w:rsid w:val="00D1374A"/>
    <w:rsid w:val="00DF5894"/>
    <w:rsid w:val="00E35F1B"/>
    <w:rsid w:val="00F41328"/>
    <w:rsid w:val="06940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4">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7">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8">
    <w:name w:val="Heading 3 Char"/>
    <w:basedOn w:val="11"/>
    <w:link w:val="4"/>
    <w:semiHidden/>
    <w:uiPriority w:val="9"/>
    <w:rPr>
      <w:rFonts w:eastAsiaTheme="majorEastAsia" w:cstheme="majorBidi"/>
      <w:color w:val="2F5597" w:themeColor="accent1" w:themeShade="BF"/>
      <w:sz w:val="28"/>
      <w:szCs w:val="28"/>
    </w:rPr>
  </w:style>
  <w:style w:type="character" w:customStyle="1" w:styleId="19">
    <w:name w:val="Heading 4 Char"/>
    <w:basedOn w:val="11"/>
    <w:link w:val="5"/>
    <w:semiHidden/>
    <w:qFormat/>
    <w:uiPriority w:val="9"/>
    <w:rPr>
      <w:rFonts w:eastAsiaTheme="majorEastAsia" w:cstheme="majorBidi"/>
      <w:i/>
      <w:iCs/>
      <w:color w:val="2F5597" w:themeColor="accent1" w:themeShade="BF"/>
    </w:rPr>
  </w:style>
  <w:style w:type="character" w:customStyle="1" w:styleId="20">
    <w:name w:val="Heading 5 Char"/>
    <w:basedOn w:val="11"/>
    <w:link w:val="6"/>
    <w:semiHidden/>
    <w:qFormat/>
    <w:uiPriority w:val="9"/>
    <w:rPr>
      <w:rFonts w:eastAsiaTheme="majorEastAsia" w:cstheme="majorBidi"/>
      <w:color w:val="2F5597" w:themeColor="accent1" w:themeShade="BF"/>
    </w:rPr>
  </w:style>
  <w:style w:type="character" w:customStyle="1" w:styleId="21">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Intense Quote Char"/>
    <w:basedOn w:val="11"/>
    <w:link w:val="31"/>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1206</Words>
  <Characters>4279</Characters>
  <Lines>39</Lines>
  <Paragraphs>10</Paragraphs>
  <TotalTime>19</TotalTime>
  <ScaleCrop>false</ScaleCrop>
  <LinksUpToDate>false</LinksUpToDate>
  <CharactersWithSpaces>5426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2026-10-19T04:05:00Z</dcterms:created>
  <dc:creator>laptop</dc:creator>
  <cp:lastModifiedBy>user</cp:lastModifiedBy>
  <dcterms:modified xsi:type="dcterms:W3CDTF">2026-10-20T03:46:51Z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FEFB1FF6DA7149E7ABDC03665F15F7A7_13</vt:lpwstr>
  </property>
</Properties>
</file>