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1589" w:type="dxa"/>
        <w:tblInd w:w="-1134" w:type="dxa"/>
        <w:tblLook w:val="01E0" w:firstRow="1" w:lastRow="1" w:firstColumn="1" w:lastColumn="1" w:noHBand="0" w:noVBand="0"/>
      </w:tblPr>
      <w:tblGrid>
        <w:gridCol w:w="4678"/>
        <w:gridCol w:w="284"/>
        <w:gridCol w:w="5812"/>
        <w:gridCol w:w="815"/>
      </w:tblGrid>
      <w:tr>
        <w:trPr>
          <w:gridAfter w:val="1"/>
          <w:wAfter w:w="815" w:type="dxa"/>
        </w:trPr>
        <w:tc>
          <w:tcPr>
            <w:tcW w:w="4962" w:type="dxa"/>
            <w:gridSpan w:val="2"/>
          </w:tcPr>
          <w:p>
            <w:pPr>
              <w:ind w:left="-250"/>
              <w:jc w:val="center"/>
              <w:rPr>
                <w:sz w:val="26"/>
                <w:szCs w:val="26"/>
              </w:rPr>
            </w:pPr>
            <w:bookmarkStart w:id="0" w:name="_Hlk178412158"/>
            <w:r>
              <w:rPr>
                <w:sz w:val="26"/>
                <w:szCs w:val="26"/>
              </w:rPr>
              <w:t xml:space="preserve">  UBND TỈNH HÀ TĨNH</w:t>
            </w:r>
          </w:p>
          <w:p>
            <w:pPr>
              <w:ind w:left="141" w:hanging="283"/>
              <w:jc w:val="center"/>
              <w:rPr>
                <w:b/>
                <w:sz w:val="26"/>
                <w:szCs w:val="26"/>
              </w:rPr>
            </w:pPr>
            <w:r>
              <w:rPr>
                <w:b/>
                <w:sz w:val="26"/>
                <w:szCs w:val="26"/>
              </w:rPr>
              <w:t xml:space="preserve">    SỞ NÔNG NGHIỆP VÀ MÔI TRƯỜNG</w:t>
            </w:r>
          </w:p>
          <w:p>
            <w:pPr>
              <w:ind w:left="-250"/>
              <w:jc w:val="center"/>
              <w:rPr>
                <w:b/>
                <w:szCs w:val="26"/>
              </w:rPr>
            </w:pPr>
            <w:r>
              <w:rPr>
                <w:b/>
                <w:noProof/>
                <w:szCs w:val="26"/>
              </w:rPr>
              <mc:AlternateContent>
                <mc:Choice Requires="wps">
                  <w:drawing>
                    <wp:anchor distT="0" distB="0" distL="114300" distR="114300" simplePos="0" relativeHeight="251661824" behindDoc="0" locked="0" layoutInCell="1" allowOverlap="1">
                      <wp:simplePos x="0" y="0"/>
                      <wp:positionH relativeFrom="column">
                        <wp:posOffset>931545</wp:posOffset>
                      </wp:positionH>
                      <wp:positionV relativeFrom="paragraph">
                        <wp:posOffset>25400</wp:posOffset>
                      </wp:positionV>
                      <wp:extent cx="1143000" cy="0"/>
                      <wp:effectExtent l="0" t="0" r="0" b="0"/>
                      <wp:wrapNone/>
                      <wp:docPr id="2"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EB22355" id=" 3"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35pt,2pt" to="163.3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bBAoQEAADIDAAAOAAAAZHJzL2Uyb0RvYy54bWysUk2P0zAQvSPxHyzfadLCIrCa7mGX5bJA&#10;pYUfMLWdxsLxWDNuk/57bG9bvm6IHEaer5d5b2Z9O49eHC2xw9DJ5aKVwgaNxoV9J799fXj1TgpO&#10;EAx4DLaTJ8vydvPyxXqKyq5wQG8siQwSWE2xk0NKUTUN68GOwAuMNuRkjzRCyi7tG0MwZfTRN6u2&#10;fdtMSCYSasuco/fPSbmp+H1vdfrS92yT8J3Ms6Vqqdpdsc1mDWpPEAenz2PAP0wxggv5p1eoe0gg&#10;DuT+ghqdJmTs00Lj2GDfO20rh8xm2f7B5mmAaCuXLA7Hq0z8/2D15+Nd2FIZXc/hKT6i/s5ZlGaK&#10;rK7J4nDckthNn9DkNcIhYeU79zSW5sxEzFXW01VWOyehc3C5fPO6bbP6+pJrQF0aI3H6aHEU5dFJ&#10;70JhDAqOj5zKIKAuJSUc8MF5X7fmg5g6+f5mdVMbGL0zJVnKmPa7O0/iCGXv9SurzmC/lREegqlg&#10;gwXz4fxO4PzzO9f7cBaj8C9nxWqH5rSlAle8vJgKfD6isvlf/Vr189Q3PwAAAP//AwBQSwMEFAAG&#10;AAgAAAAhAFsrUunZAAAABwEAAA8AAABkcnMvZG93bnJldi54bWxMj0FPwkAQhe8m/ofNmHghsLUQ&#10;MLVbYtTevIgar0N3bBu7s6W7QPXXO3DR45f38uabfD26Th1oCK1nAzezBBRx5W3LtYG313J6CypE&#10;ZIudZzLwTQHWxeVFjpn1R36hwybWSkY4ZGigibHPtA5VQw7DzPfEkn36wWEUHGptBzzKuOt0miRL&#10;7bBludBgTw8NVV+bvTMQynfalT+TapJ8zGtP6e7x+QmNub4a7+9ARRrjXxlO+qIOhTht/Z5tUJ3w&#10;YrmSqoGFvCT5PD3x9sy6yPV//+IXAAD//wMAUEsBAi0AFAAGAAgAAAAhALaDOJL+AAAA4QEAABMA&#10;AAAAAAAAAAAAAAAAAAAAAFtDb250ZW50X1R5cGVzXS54bWxQSwECLQAUAAYACAAAACEAOP0h/9YA&#10;AACUAQAACwAAAAAAAAAAAAAAAAAvAQAAX3JlbHMvLnJlbHNQSwECLQAUAAYACAAAACEAYJmwQKEB&#10;AAAyAwAADgAAAAAAAAAAAAAAAAAuAgAAZHJzL2Uyb0RvYy54bWxQSwECLQAUAAYACAAAACEAWytS&#10;6dkAAAAHAQAADwAAAAAAAAAAAAAAAAD7AwAAZHJzL2Rvd25yZXYueG1sUEsFBgAAAAAEAAQA8wAA&#10;AAEFAAAAAA==&#10;">
                      <o:lock v:ext="edit" shapetype="f"/>
                    </v:line>
                  </w:pict>
                </mc:Fallback>
              </mc:AlternateContent>
            </w:r>
          </w:p>
        </w:tc>
        <w:tc>
          <w:tcPr>
            <w:tcW w:w="5812" w:type="dxa"/>
          </w:tcPr>
          <w:p>
            <w:pPr>
              <w:ind w:right="-491"/>
              <w:rPr>
                <w:b/>
                <w:sz w:val="26"/>
                <w:szCs w:val="26"/>
              </w:rPr>
            </w:pPr>
            <w:r>
              <w:rPr>
                <w:b/>
                <w:sz w:val="26"/>
                <w:szCs w:val="26"/>
              </w:rPr>
              <w:t>CỘNG HÒA XÃ HỘI CHỦ NGHĨA VIỆT NAM</w:t>
            </w:r>
          </w:p>
          <w:p>
            <w:pPr>
              <w:jc w:val="center"/>
              <w:rPr>
                <w:b/>
                <w:szCs w:val="26"/>
              </w:rPr>
            </w:pPr>
            <w:r>
              <w:rPr>
                <w:b/>
                <w:szCs w:val="26"/>
              </w:rPr>
              <w:t>Độc lập - Tự do - Hạnh phúc</w:t>
            </w:r>
          </w:p>
          <w:p>
            <w:pPr>
              <w:rPr>
                <w:b/>
                <w:szCs w:val="26"/>
              </w:rPr>
            </w:pPr>
            <w:r>
              <w:rPr>
                <w:noProof/>
                <w:szCs w:val="26"/>
              </w:rPr>
              <mc:AlternateContent>
                <mc:Choice Requires="wps">
                  <w:drawing>
                    <wp:anchor distT="0" distB="0" distL="114300" distR="114300" simplePos="0" relativeHeight="251660800" behindDoc="0" locked="0" layoutInCell="1" allowOverlap="1">
                      <wp:simplePos x="0" y="0"/>
                      <wp:positionH relativeFrom="column">
                        <wp:posOffset>765810</wp:posOffset>
                      </wp:positionH>
                      <wp:positionV relativeFrom="paragraph">
                        <wp:posOffset>5301</wp:posOffset>
                      </wp:positionV>
                      <wp:extent cx="2065020" cy="0"/>
                      <wp:effectExtent l="0" t="0" r="11430" b="1905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650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6520AE79" id=" 2"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3pt,.4pt" to="222.9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w46oQEAADIDAAAOAAAAZHJzL2Uyb0RvYy54bWysUk1v2zAMvQ/ofxB0b+waSLEZcXpo1166&#10;LUDXH8BIcixMFgVSiZ1/P0lNsm67DfOBEL+e+R65uptHJw6G2KLv5M2ilsJ4hdr6XSdfvz9ef5SC&#10;I3gNDr3p5NGwvFtffVhNoTUNDui0IZFAPLdT6OQQY2iritVgRuAFBuNTskcaISaXdpUmmBL66Kqm&#10;rm+rCUkHQmWYU/ThLSnXBb/vjYrf+p5NFK6TabZYLBW7zbZar6DdEYTBqtMY8A9TjGB9+ukF6gEi&#10;iD3Zv6BGqwgZ+7hQOFbY91aZwiGxuan/YPMyQDCFSxKHw0Um/n+w6uvh3m8oj65m/xKeUf3gJEo1&#10;BW4vyexw2JDYTl9QpzXCPmLhO/c05ubERMxF1uNFVjNHoVKwqW+XdZPUV+dcBe25MRDHJ4OjyI9O&#10;OuszY2jh8MwxDwLtuSSHPT5a58rWnBdTJz8tm2VpYHRW52QuY9pt7x2JA+S9ly+vOoH9Vka497qA&#10;DQb059M7gnVv71Tv/EmMzD+fFbdb1McNZbjspcUU4NMR5c2/90vVr1Nf/wQAAP//AwBQSwMEFAAG&#10;AAgAAAAhAGPJOVLZAAAABQEAAA8AAABkcnMvZG93bnJldi54bWxMj8FOwzAQRO9I/IO1SFwqahNK&#10;hUKcCgG5caGAuG7jJYmI12nstoGvZ3sqtx3NaPZNsZp8r/Y0xi6wheu5AUVcB9dxY+H9rbq6AxUT&#10;ssM+MFn4oQir8vyswNyFA7/Sfp0aJSUcc7TQpjTkWse6JY9xHgZi8b7C6DGJHBvtRjxIue91ZsxS&#10;e+xYPrQ40GNL9fd65y3E6oO21e+snpnPmyZQtn16eUZrLy+mh3tQiaZ0CsMRX9ChFKZN2LGLqhed&#10;maVELcgAsReLWzk2R6nLQv+nL/8AAAD//wMAUEsBAi0AFAAGAAgAAAAhALaDOJL+AAAA4QEAABMA&#10;AAAAAAAAAAAAAAAAAAAAAFtDb250ZW50X1R5cGVzXS54bWxQSwECLQAUAAYACAAAACEAOP0h/9YA&#10;AACUAQAACwAAAAAAAAAAAAAAAAAvAQAAX3JlbHMvLnJlbHNQSwECLQAUAAYACAAAACEADQsOOqEB&#10;AAAyAwAADgAAAAAAAAAAAAAAAAAuAgAAZHJzL2Uyb0RvYy54bWxQSwECLQAUAAYACAAAACEAY8k5&#10;UtkAAAAFAQAADwAAAAAAAAAAAAAAAAD7AwAAZHJzL2Rvd25yZXYueG1sUEsFBgAAAAAEAAQA8wAA&#10;AAEFAAAAAA==&#10;">
                      <o:lock v:ext="edit" shapetype="f"/>
                    </v:line>
                  </w:pict>
                </mc:Fallback>
              </mc:AlternateContent>
            </w:r>
          </w:p>
        </w:tc>
      </w:tr>
      <w:tr>
        <w:tc>
          <w:tcPr>
            <w:tcW w:w="4678" w:type="dxa"/>
          </w:tcPr>
          <w:p>
            <w:pPr>
              <w:ind w:left="33"/>
              <w:jc w:val="center"/>
              <w:rPr>
                <w:sz w:val="26"/>
                <w:szCs w:val="26"/>
              </w:rPr>
            </w:pPr>
            <w:r>
              <w:rPr>
                <w:szCs w:val="28"/>
              </w:rPr>
              <w:t xml:space="preserve">  </w:t>
            </w:r>
            <w:r>
              <w:rPr>
                <w:sz w:val="26"/>
                <w:szCs w:val="26"/>
              </w:rPr>
              <w:t xml:space="preserve">Số:      /TTr-SNNMT </w:t>
            </w:r>
          </w:p>
        </w:tc>
        <w:tc>
          <w:tcPr>
            <w:tcW w:w="6911" w:type="dxa"/>
            <w:gridSpan w:val="3"/>
          </w:tcPr>
          <w:p>
            <w:pPr>
              <w:ind w:left="176" w:right="34"/>
              <w:rPr>
                <w:b/>
                <w:i/>
                <w:szCs w:val="26"/>
              </w:rPr>
            </w:pPr>
            <w:r>
              <w:rPr>
                <w:i/>
                <w:szCs w:val="26"/>
              </w:rPr>
              <w:t xml:space="preserve">                   Hà Tĩnh, ngày   tháng 10 năm 2026</w:t>
            </w:r>
          </w:p>
        </w:tc>
      </w:tr>
    </w:tbl>
    <w:bookmarkEnd w:id="0"/>
    <w:p>
      <w:pPr>
        <w:shd w:val="clear" w:color="auto" w:fill="FFFFFF"/>
        <w:rPr>
          <w:b/>
          <w:bCs/>
          <w:szCs w:val="28"/>
        </w:rPr>
      </w:pPr>
      <w:r>
        <w:rPr>
          <w:b/>
          <w:bCs/>
          <w:szCs w:val="28"/>
        </w:rPr>
        <w:t xml:space="preserve">     (DỰ THẢO)</w:t>
      </w:r>
    </w:p>
    <w:p>
      <w:pPr>
        <w:shd w:val="clear" w:color="auto" w:fill="FFFFFF"/>
        <w:rPr>
          <w:b/>
          <w:bCs/>
        </w:rPr>
      </w:pPr>
    </w:p>
    <w:p>
      <w:pPr>
        <w:shd w:val="clear" w:color="auto" w:fill="FFFFFF"/>
        <w:jc w:val="center"/>
      </w:pPr>
      <w:r>
        <w:rPr>
          <w:b/>
          <w:bCs/>
          <w:lang w:val="vi-VN"/>
        </w:rPr>
        <w:t>TỜ TRÌNH</w:t>
      </w:r>
    </w:p>
    <w:p>
      <w:pPr>
        <w:spacing w:after="120"/>
        <w:jc w:val="center"/>
      </w:pPr>
      <w:r>
        <w:rPr>
          <w:b/>
        </w:rPr>
        <w:t>Về việc đề nghị ban hành Quyết định sửa đổi, bổ sung một số điều tại các Quyết định của Ủy ban nhân dân tỉnh Hà Tĩnh</w:t>
      </w:r>
    </w:p>
    <w:p>
      <w:pPr>
        <w:jc w:val="center"/>
        <w:rPr>
          <w:b/>
          <w:bCs/>
          <w:spacing w:val="-6"/>
          <w:lang w:val="vi-VN"/>
        </w:rPr>
      </w:pPr>
      <w:r>
        <w:rPr>
          <w:noProof/>
        </w:rPr>
        <mc:AlternateContent>
          <mc:Choice Requires="wps">
            <w:drawing>
              <wp:anchor distT="0" distB="0" distL="114300" distR="114300" simplePos="0" relativeHeight="251658752" behindDoc="0" locked="0" layoutInCell="1" allowOverlap="1">
                <wp:simplePos x="0" y="0"/>
                <wp:positionH relativeFrom="margin">
                  <wp:posOffset>2252345</wp:posOffset>
                </wp:positionH>
                <wp:positionV relativeFrom="paragraph">
                  <wp:posOffset>37161</wp:posOffset>
                </wp:positionV>
                <wp:extent cx="1248354" cy="5004"/>
                <wp:effectExtent l="0" t="0" r="28575" b="33655"/>
                <wp:wrapNone/>
                <wp:docPr id="5" name="Straight Connector 5"/>
                <wp:cNvGraphicFramePr/>
                <a:graphic xmlns:a="http://schemas.openxmlformats.org/drawingml/2006/main">
                  <a:graphicData uri="http://schemas.microsoft.com/office/word/2010/wordprocessingShape">
                    <wps:wsp>
                      <wps:cNvCnPr/>
                      <wps:spPr>
                        <a:xfrm flipH="1">
                          <a:off x="0" y="0"/>
                          <a:ext cx="1248354" cy="500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2C530E5" id="Straight Connector 5" o:spid="_x0000_s1026" style="position:absolute;flip:x;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7.35pt,2.95pt" to="275.6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8iHpQEAAJUDAAAOAAAAZHJzL2Uyb0RvYy54bWysU8tu2zAQvBfoPxC815JdpwgEyzkkSHsI&#10;kqCPD2CopUWE5BIka8l/H3JlK0VbBEGQC8HHzuzO7HJzMVrD9hCiRtfy5aLmDJzETrtdy3/9vP50&#10;zllMwnXCoIOWHyDyi+3HD5vBN7DCHk0HgWUSF5vBt7xPyTdVFWUPVsQFenD5UWGwIuVj2FVdEENm&#10;t6Za1fWXasDQ+YASYsy3V9Mj3xK/UiDTnVIREjMtz7UlWgOtD2WtthvR7ILwvZbHMsQbqrBCu5x0&#10;proSSbDfQf9DZbUMGFGlhURboVJaAmnIapb1X2p+9MIDacnmRD/bFN+PVt7uL919yDYMPjbR34ei&#10;YlTBMmW0/5Z7SrpypWwk2w6zbTAmJvPlcrU+/3y25kzmt7O6XhdXq4mlsPkQ01dAy8qm5Ua7Iko0&#10;Yn8T0xR6Csm45zpolw4GSrBx30Ex3ZV8hKYRgUsT2F7k5naPy2NaiiwQpY2ZQfXLoGNsgQGNzWuB&#10;czRlRJdmoNUOw/+ypvFUqpriT6onrUX2A3YH6grZkXtPhh7ntAzXn2eCP/+m7RMAAAD//wMAUEsD&#10;BBQABgAIAAAAIQC1A8Mx2gAAAAcBAAAPAAAAZHJzL2Rvd25yZXYueG1sTI7BTsMwEETvSPyDtUjc&#10;qF2KEwjZVKUS4kzLpTcnXpKIeB1itw1/jznR42hGb165nt0gTjSF3jPCcqFAEDfe9twifOxf7x5B&#10;hGjYmsEzIfxQgHV1fVWawvozv9NpF1uRIBwKg9DFOBZShqYjZ8LCj8Sp+/STMzHFqZV2MucEd4O8&#10;VyqTzvScHjoz0raj5mt3dAj7N6fmOvZb4u9cbQ4vOuODRry9mTfPICLN8X8Mf/pJHarkVPsj2yAG&#10;hJV+yNMUQT+BSL3WyxWIGiHLQValvPSvfgEAAP//AwBQSwECLQAUAAYACAAAACEAtoM4kv4AAADh&#10;AQAAEwAAAAAAAAAAAAAAAAAAAAAAW0NvbnRlbnRfVHlwZXNdLnhtbFBLAQItABQABgAIAAAAIQA4&#10;/SH/1gAAAJQBAAALAAAAAAAAAAAAAAAAAC8BAABfcmVscy8ucmVsc1BLAQItABQABgAIAAAAIQA7&#10;S8iHpQEAAJUDAAAOAAAAAAAAAAAAAAAAAC4CAABkcnMvZTJvRG9jLnhtbFBLAQItABQABgAIAAAA&#10;IQC1A8Mx2gAAAAcBAAAPAAAAAAAAAAAAAAAAAP8DAABkcnMvZG93bnJldi54bWxQSwUGAAAAAAQA&#10;BADzAAAABgUAAAAA&#10;" strokecolor="black [3200]" strokeweight=".5pt">
                <v:stroke joinstyle="miter"/>
                <w10:wrap anchorx="margin"/>
              </v:line>
            </w:pict>
          </mc:Fallback>
        </mc:AlternateContent>
      </w:r>
      <w:r>
        <w:rPr>
          <w:b/>
        </w:rPr>
        <w:t>  </w:t>
      </w:r>
    </w:p>
    <w:p>
      <w:pPr>
        <w:jc w:val="center"/>
        <w:rPr>
          <w:b/>
          <w:sz w:val="27"/>
          <w:szCs w:val="27"/>
        </w:rPr>
      </w:pPr>
    </w:p>
    <w:p>
      <w:pPr>
        <w:shd w:val="clear" w:color="auto" w:fill="FFFFFF"/>
        <w:spacing w:line="234" w:lineRule="atLeast"/>
        <w:jc w:val="center"/>
        <w:rPr>
          <w:bCs/>
          <w:position w:val="-2"/>
        </w:rPr>
      </w:pPr>
      <w:r>
        <w:rPr>
          <w:bCs/>
          <w:position w:val="-2"/>
        </w:rPr>
        <w:t xml:space="preserve">Kính gửi: Ủy nhân dân tỉnh </w:t>
      </w:r>
    </w:p>
    <w:p>
      <w:pPr>
        <w:shd w:val="clear" w:color="auto" w:fill="FFFFFF"/>
        <w:spacing w:line="234" w:lineRule="atLeast"/>
        <w:jc w:val="center"/>
      </w:pPr>
    </w:p>
    <w:p>
      <w:pPr>
        <w:spacing w:before="80" w:line="340" w:lineRule="atLeast"/>
        <w:ind w:firstLine="720"/>
        <w:jc w:val="both"/>
        <w:rPr>
          <w:bCs/>
          <w:szCs w:val="28"/>
          <w:lang w:eastAsia="vi-VN"/>
        </w:rPr>
      </w:pPr>
      <w:r>
        <w:rPr>
          <w:bCs/>
          <w:szCs w:val="28"/>
          <w:lang w:eastAsia="vi-VN"/>
        </w:rPr>
        <w:t>Thực hiện Văn bản số 10774/UBND-NL</w:t>
      </w:r>
      <w:r>
        <w:rPr>
          <w:bCs/>
          <w:szCs w:val="28"/>
          <w:vertAlign w:val="subscript"/>
          <w:lang w:eastAsia="vi-VN"/>
        </w:rPr>
        <w:t>2</w:t>
      </w:r>
      <w:r>
        <w:rPr>
          <w:bCs/>
          <w:szCs w:val="28"/>
          <w:lang w:eastAsia="vi-VN"/>
        </w:rPr>
        <w:t xml:space="preserve"> của UBND tỉnh về chủ trương xây dựng văn bản quy phạm pháp luật; trên cơ sở các quy định của pháp luật hiện hành và kết quả xây dựng, lấy ý kiến, thẩm định dự thảo văn bản, Sở Nông nghiệp và Môi trường kính trình Ủy ban nhân dân tỉnh xem xét, ban hành Quyết định sửa đổi, bổ sung một số điều tại các Quyết định của Ủy ban nhân dân tỉnh Hà Tĩnh, với các nội dung chính như sau:</w:t>
      </w:r>
    </w:p>
    <w:p>
      <w:pPr>
        <w:spacing w:before="80" w:line="340" w:lineRule="atLeast"/>
        <w:ind w:firstLine="720"/>
        <w:jc w:val="both"/>
        <w:rPr>
          <w:b/>
          <w:szCs w:val="28"/>
          <w:lang w:eastAsia="vi-VN"/>
        </w:rPr>
      </w:pPr>
      <w:r>
        <w:rPr>
          <w:b/>
          <w:szCs w:val="28"/>
          <w:lang w:eastAsia="vi-VN"/>
        </w:rPr>
        <w:t>I. SỰ CẦN THIẾT BAN HÀNH QUYẾT ĐỊNH</w:t>
      </w:r>
    </w:p>
    <w:p>
      <w:pPr>
        <w:widowControl w:val="0"/>
        <w:spacing w:before="80" w:line="340" w:lineRule="atLeast"/>
        <w:ind w:firstLine="720"/>
        <w:jc w:val="both"/>
        <w:rPr>
          <w:b/>
          <w:iCs/>
          <w:szCs w:val="28"/>
        </w:rPr>
      </w:pPr>
      <w:r>
        <w:rPr>
          <w:b/>
          <w:iCs/>
          <w:szCs w:val="28"/>
        </w:rPr>
        <w:t>1. Cơ sở chính trị, pháp lý</w:t>
      </w:r>
    </w:p>
    <w:p>
      <w:pPr>
        <w:widowControl w:val="0"/>
        <w:spacing w:before="80" w:line="340" w:lineRule="atLeast"/>
        <w:ind w:firstLine="720"/>
        <w:jc w:val="both"/>
        <w:rPr>
          <w:iCs/>
          <w:szCs w:val="28"/>
        </w:rPr>
      </w:pPr>
      <w:r>
        <w:rPr>
          <w:iCs/>
          <w:szCs w:val="28"/>
        </w:rPr>
        <w:t xml:space="preserve">Ngày 11/12/2025, Quốc hội thông qua Nghị quyết số 254/2025/QH15  Quy định một số cơ chế, chính sách tháo gỡ khó khăn vướng mắc trong tổ chức thi hành Luật Đất đai (gọi tắt là Nghị quyết số 254/2025/QH15) và </w:t>
      </w:r>
      <w:r>
        <w:rPr>
          <w:szCs w:val="28"/>
          <w:lang w:val="vi-VN"/>
        </w:rPr>
        <w:t>Chính phủ ban hành Nghị định số 49/2026/NĐ-CP ngày 31/01/2026 Quy định chi tiết và hướng dẫn một số điều của Nghị quyết số 254/2025/QH15 của Quốc hội</w:t>
      </w:r>
      <w:r>
        <w:rPr>
          <w:szCs w:val="28"/>
          <w:lang w:val="pt-BR"/>
        </w:rPr>
        <w:t xml:space="preserve"> quy định một số cơ chế, chính sách tháo gỡ khó khăn, vướng mắc trong tổ chức thi hành Luật Đất đai (gọi tắt là Nghị định số 49/2026/NĐ-CP). Theo quy định tại </w:t>
      </w:r>
      <w:r>
        <w:rPr>
          <w:iCs/>
          <w:szCs w:val="28"/>
        </w:rPr>
        <w:t>Nghị định số 49/2026/NĐ-CP đã bãi bỏ các nội dung quy định về phân cấp, phân quyền trong lĩnh vực đất đai tại Nghị định số 151/2025/NĐ-CP và giao cho Ủy ban nhân dân cấp tỉnh quyết định việc phân cấp, ủy quyền; đồng thời giao Ủy ban nhân dân cấp tỉnh quy định trình tự, thủ tục hành chính về đất đai đối với một số nội dung cụ thể. Để cụ thể hóa các quy định của Trung ương, UBND tỉnh đã kịp thời ban hành các Quyết định: số 28/2026/QĐ-UBND ngày 24/4/2026 của Ủy ban nhân dân tỉnh Quy định chi tiết một số Điều tại Nghị quyết số 254/2025/QH15 của Quốc hội, Nghị định số 49/2026/NĐ-CP ngày 31/01/2026 của Chính phủ và sửa đổi, bổ sung một số Điều tại các Quyết định của UBND tỉnh Hà Tĩnh; số 34/2026/QĐ-UBND ngày 03/6/2026 của Ủy ban nhân dân tỉnh phân cấp, ủy quyền một số nhiệm vụ trong lĩnh vực đất đai trên địa bàn tỉnh Hà Tĩnh và số 48/2026/QĐ-UBND ngày 06/7/2026 của Ủy ban nhân dân tỉnh quy định trình tự thủ tục hành chính trong lĩnh vực đất đai trên địa bàn tỉnh Hà Tĩnh để triển khai thực hiện.</w:t>
      </w:r>
    </w:p>
    <w:p>
      <w:pPr>
        <w:pStyle w:val="NormalWeb"/>
        <w:widowControl w:val="0"/>
        <w:spacing w:before="80" w:beforeAutospacing="0" w:after="0" w:afterAutospacing="0" w:line="340" w:lineRule="atLeast"/>
        <w:ind w:firstLine="720"/>
        <w:jc w:val="both"/>
        <w:rPr>
          <w:b/>
          <w:bCs/>
          <w:sz w:val="28"/>
          <w:szCs w:val="28"/>
        </w:rPr>
      </w:pPr>
      <w:r>
        <w:rPr>
          <w:b/>
          <w:bCs/>
          <w:sz w:val="28"/>
          <w:szCs w:val="28"/>
          <w:lang w:val="vi-VN"/>
        </w:rPr>
        <w:t>2. Về cơ sở thực tiễn</w:t>
      </w:r>
    </w:p>
    <w:p>
      <w:pPr>
        <w:pStyle w:val="NormalWeb"/>
        <w:widowControl w:val="0"/>
        <w:spacing w:before="80" w:beforeAutospacing="0" w:after="0" w:afterAutospacing="0" w:line="340" w:lineRule="atLeast"/>
        <w:ind w:firstLine="720"/>
        <w:jc w:val="both"/>
        <w:rPr>
          <w:sz w:val="28"/>
          <w:szCs w:val="28"/>
        </w:rPr>
      </w:pPr>
      <w:r>
        <w:rPr>
          <w:sz w:val="28"/>
          <w:szCs w:val="28"/>
          <w:lang w:val="vi-VN"/>
        </w:rPr>
        <w:lastRenderedPageBreak/>
        <w:t>Qua quá trình triển khai thực hiện các Quyết định của UBND tỉnh trong lĩnh vực đất đai, trên cơ sở tổng hợp ý kiến phản ánh, kiến nghị của các địa phương và rà soát những vấn đề phát sinh trong thực tiễn, Sở Nông nghiệp và Môi trường nhận thấy một số quy định cần được sửa đổi, bổ sung nhằm bảo đảm tính thống nhất, đồng bộ về thẩm quyền, phù hợp với yêu cầu quản lý nhà nước và tháo gỡ những khó khăn, vướng mắc trong quá trình tổ chức thực hiện. Cụ thể:</w:t>
      </w:r>
    </w:p>
    <w:p>
      <w:pPr>
        <w:pStyle w:val="NormalWeb"/>
        <w:widowControl w:val="0"/>
        <w:spacing w:before="80" w:beforeAutospacing="0" w:after="0" w:afterAutospacing="0" w:line="340" w:lineRule="atLeast"/>
        <w:ind w:firstLine="720"/>
        <w:jc w:val="both"/>
        <w:rPr>
          <w:sz w:val="28"/>
          <w:szCs w:val="28"/>
        </w:rPr>
      </w:pPr>
      <w:r>
        <w:rPr>
          <w:sz w:val="28"/>
          <w:szCs w:val="28"/>
        </w:rPr>
        <w:t xml:space="preserve">- </w:t>
      </w:r>
      <w:r>
        <w:rPr>
          <w:sz w:val="28"/>
          <w:szCs w:val="28"/>
          <w:lang w:val="vi-VN"/>
        </w:rPr>
        <w:t>Về phân cấp, ủy quyền thực hiện nhiệm vụ trong lĩnh vực đất đai: Quy định phân cấp cho Chủ tịch UBND cấp xã chấp thuận việc thỏa thuận nhận chuyển quyền sử dụng đất để thực hiện dự án đầu tư trong trường hợp khu đất thuộc địa bàn từ 02 đơn vị hành chính cấp xã trở lên chưa bảo đảm sự phù hợp, thống nhất với thẩm quyền quyết định giao đất, cho thuê đất, cho phép chuyển mục đích sử dụng đất đối với khu đất thuộc địa bàn từ 02 đơn vị hành chính cấp xã trở lên. Do đó, cần sửa đổi quy định này để bảo đảm thống nhất về thẩm quyền giải quyết giữa các khâu trong quá trình thực hiện dự án đầu tư có sử dụng đất.</w:t>
      </w:r>
    </w:p>
    <w:p>
      <w:pPr>
        <w:pStyle w:val="NormalWeb"/>
        <w:widowControl w:val="0"/>
        <w:spacing w:before="80" w:beforeAutospacing="0" w:after="0" w:afterAutospacing="0" w:line="340" w:lineRule="atLeast"/>
        <w:ind w:firstLine="720"/>
        <w:jc w:val="both"/>
        <w:rPr>
          <w:sz w:val="28"/>
          <w:szCs w:val="28"/>
        </w:rPr>
      </w:pPr>
      <w:r>
        <w:rPr>
          <w:sz w:val="28"/>
          <w:szCs w:val="28"/>
        </w:rPr>
        <w:t xml:space="preserve">- </w:t>
      </w:r>
      <w:r>
        <w:rPr>
          <w:sz w:val="28"/>
          <w:szCs w:val="28"/>
          <w:lang w:val="vi-VN"/>
        </w:rPr>
        <w:t>Về trình tự, thủ tục hành chính trong lĩnh vực đất đai: Qua rà soát quá trình giải quyết thủ tục hành chính tại địa phương, một số thành phần hồ sơ thực hiện thủ tục đăng ký đất đai, cấp Giấy chứng nhận quyền sử dụng đất, quyền sở hữu tài sản gắn liền với đất lần đầu cho hộ gia đình, cá nhân, cộng đồng dân cư cần được rà soát, điều chỉnh cho phù hợp với quy định pháp luật hiện hành và tình hình thực tế, bảo đảm tính rõ ràng, thống nhất, thuận lợi trong quá trình tiếp nhận, giải quyết hồ sơ, đồng thời hạn chế việc yêu cầu bổ sung giấy tờ không cần thiết.</w:t>
      </w:r>
    </w:p>
    <w:p>
      <w:pPr>
        <w:pStyle w:val="NormalWeb"/>
        <w:widowControl w:val="0"/>
        <w:spacing w:before="80" w:beforeAutospacing="0" w:after="0" w:afterAutospacing="0" w:line="340" w:lineRule="atLeast"/>
        <w:ind w:firstLine="720"/>
        <w:jc w:val="both"/>
        <w:rPr>
          <w:sz w:val="28"/>
          <w:szCs w:val="28"/>
          <w:lang w:val="vi-VN"/>
        </w:rPr>
      </w:pPr>
      <w:r>
        <w:rPr>
          <w:sz w:val="28"/>
          <w:szCs w:val="28"/>
        </w:rPr>
        <w:t xml:space="preserve">- </w:t>
      </w:r>
      <w:r>
        <w:rPr>
          <w:sz w:val="28"/>
          <w:szCs w:val="28"/>
          <w:lang w:val="vi-VN"/>
        </w:rPr>
        <w:t>Về chính sách bồi thường, hỗ trợ, tái định cư thuộc thẩm quyền quyết định của UBND tỉnh: Qua thực tiễn triển khai, một số chính sách hỗ trợ cần được rà soát, bổ sung để phù hợp với điều kiện thực tế của địa phương và bảo đảm quyền, lợi ích hợp pháp của người có đất thu hồi. Trong đó, cần nghiên cứu bổ sung quy định hỗ trợ đối với các trường hợp hộ gia đình, cá nhân còn thiếu đất ở, nhà ở theo quy định tại khoản 10 Điều 111 Luật Đất đai năm 2024, làm cơ sở thực hiện việc giao đất ở có thu tiền sử dụng đất hoặc bán, cho thuê, cho thuê mua nhà ở theo quy định, góp phần bảo đảm điều kiện ổn định đời sống cho người có đất thu hồi.</w:t>
      </w:r>
    </w:p>
    <w:p>
      <w:pPr>
        <w:pStyle w:val="NormalWeb"/>
        <w:widowControl w:val="0"/>
        <w:spacing w:before="80" w:beforeAutospacing="0" w:after="0" w:afterAutospacing="0" w:line="340" w:lineRule="atLeast"/>
        <w:ind w:firstLine="720"/>
        <w:jc w:val="both"/>
        <w:rPr>
          <w:sz w:val="28"/>
          <w:szCs w:val="28"/>
          <w:lang w:val="vi-VN"/>
        </w:rPr>
      </w:pPr>
      <w:r>
        <w:rPr>
          <w:sz w:val="28"/>
          <w:szCs w:val="28"/>
          <w:lang w:val="vi-VN"/>
        </w:rPr>
        <w:t>Từ những yêu cầu thực tiễn nêu trên, việc sửa đổi, bổ sung các quy định liên quan là cần thiết nhằm khắc phục những bất cập trong quá trình tổ chức thực hiện, bảo đảm tính thống nhất, đồng bộ của hệ thống văn bản quy phạm pháp luật về đất đai trên địa bàn tỉnh, nâng cao hiệu lực, hiệu quả quản lý nhà nước và tạo thuận lợi cho cơ quan, tổ chức, cá nhân trong quá trình thực hiện.</w:t>
      </w:r>
    </w:p>
    <w:p>
      <w:pPr>
        <w:pStyle w:val="NormalWeb"/>
        <w:widowControl w:val="0"/>
        <w:spacing w:before="80" w:beforeAutospacing="0" w:after="0" w:afterAutospacing="0" w:line="340" w:lineRule="atLeast"/>
        <w:ind w:firstLine="720"/>
        <w:jc w:val="both"/>
        <w:rPr>
          <w:b/>
          <w:bCs/>
          <w:sz w:val="28"/>
          <w:szCs w:val="28"/>
        </w:rPr>
      </w:pPr>
      <w:r>
        <w:rPr>
          <w:b/>
          <w:bCs/>
          <w:sz w:val="28"/>
          <w:szCs w:val="28"/>
          <w:lang w:val="vi-VN"/>
        </w:rPr>
        <w:t>II. MỤC ĐÍCH</w:t>
      </w:r>
      <w:r>
        <w:rPr>
          <w:b/>
          <w:bCs/>
          <w:sz w:val="28"/>
          <w:szCs w:val="28"/>
        </w:rPr>
        <w:t xml:space="preserve"> BAN HÀNH</w:t>
      </w:r>
      <w:r>
        <w:rPr>
          <w:b/>
          <w:bCs/>
          <w:sz w:val="28"/>
          <w:szCs w:val="28"/>
          <w:lang w:val="vi-VN"/>
        </w:rPr>
        <w:t xml:space="preserve">, QUAN ĐIỂM </w:t>
      </w:r>
      <w:r>
        <w:rPr>
          <w:b/>
          <w:bCs/>
          <w:sz w:val="28"/>
          <w:szCs w:val="28"/>
        </w:rPr>
        <w:t xml:space="preserve">XÂY DỰNG DỰ THẢO </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szCs w:val="28"/>
        </w:rPr>
      </w:pPr>
      <w:r>
        <w:rPr>
          <w:szCs w:val="28"/>
        </w:rPr>
        <w:t xml:space="preserve">- Mục đích ban hành: Cụ thể hóa đầy đủ, kịp thời các nhiệm vụ, thẩm quyền được giao cho UBND tỉnh tại các văn bản quy phạm pháp luật của Trung </w:t>
      </w:r>
      <w:r>
        <w:rPr>
          <w:szCs w:val="28"/>
        </w:rPr>
        <w:lastRenderedPageBreak/>
        <w:t>ương; bảo đảm tính hợp hiến, hợp pháp, thống nhất, đồng bộ với Luật Đất đai và các văn bản quy định chi tiết, hướng dẫn thi hành; đồng thời bảo đảm sự thống nhất, liên thông giữa quy định về phân cấp, ủy quyền, chính sách bồi thường, hỗ trợ, tái định cư và trình tự, thủ tục hành chính về đất đai trên địa bàn tỉnh.</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szCs w:val="28"/>
        </w:rPr>
      </w:pP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szCs w:val="28"/>
          <w:lang w:val="vi-VN"/>
        </w:rPr>
      </w:pPr>
      <w:r>
        <w:rPr>
          <w:szCs w:val="28"/>
        </w:rPr>
        <w:t>- Quan điểm xây dựng: Bám sát quy định pháp luật hiện hành và yêu cầu thực tiễn quản lý đất đai tại địa phương; tập trung sửa đổi, bổ sung những nội dung còn bất cập, vướng mắc trong quá trình tổ chức thực hiện, bảo đảm rõ thẩm quyền, trách nhiệm, phù hợp với mô hình chính quyền địa phương 02 cấp; đơn giản hóa quy trình, tạo thuận lợi cho cơ quan, tổ chức, cá nhân, nâng cao hiệu lực, hiệu quả quản lý nhà nước về đất đai, góp phần khai thác, sử dụng hiệu quả nguồn lực đất đai, thúc đẩy phát triển kinh tế - xã hội của tỉnh.</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szCs w:val="28"/>
          <w:shd w:val="clear" w:color="auto" w:fill="FFFFFF"/>
          <w:lang w:val="nl"/>
        </w:rPr>
      </w:pPr>
      <w:r>
        <w:rPr>
          <w:b/>
          <w:bCs/>
          <w:lang w:val="fr-FR"/>
        </w:rPr>
        <w:t>III</w:t>
      </w:r>
      <w:r>
        <w:rPr>
          <w:b/>
          <w:bCs/>
          <w:lang w:val="nl"/>
        </w:rPr>
        <w:t>. QUÁ TRÌNH XÂY DỰNG DỰ THẢO QUYẾT ĐỊNH</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spacing w:val="-4"/>
          <w:szCs w:val="28"/>
          <w:lang w:val="vi-VN" w:eastAsia="zh-CN" w:bidi="ar"/>
        </w:rPr>
      </w:pPr>
      <w:r>
        <w:rPr>
          <w:spacing w:val="-4"/>
          <w:szCs w:val="28"/>
          <w:lang w:val="nl" w:eastAsia="zh-CN" w:bidi="ar"/>
        </w:rPr>
        <w:t>- Căn cứ quy định của Luật Ban hành văn bản quy phạm pháp luật, n</w:t>
      </w:r>
      <w:r>
        <w:rPr>
          <w:spacing w:val="-4"/>
          <w:szCs w:val="28"/>
          <w:lang w:val="vi-VN" w:eastAsia="zh-CN" w:bidi="ar"/>
        </w:rPr>
        <w:t xml:space="preserve">gày </w:t>
      </w:r>
      <w:r>
        <w:rPr>
          <w:spacing w:val="-4"/>
          <w:szCs w:val="28"/>
          <w:lang w:eastAsia="zh-CN" w:bidi="ar"/>
        </w:rPr>
        <w:t>15/10</w:t>
      </w:r>
      <w:r>
        <w:rPr>
          <w:spacing w:val="-4"/>
          <w:szCs w:val="28"/>
          <w:lang w:val="vi-VN" w:eastAsia="zh-CN" w:bidi="ar"/>
        </w:rPr>
        <w:t xml:space="preserve">/2026, Sở Nông nghiệp và Môi trường có Văn bản số </w:t>
      </w:r>
      <w:r>
        <w:rPr>
          <w:spacing w:val="-4"/>
          <w:szCs w:val="28"/>
          <w:lang w:eastAsia="zh-CN" w:bidi="ar"/>
        </w:rPr>
        <w:t>8614</w:t>
      </w:r>
      <w:r>
        <w:rPr>
          <w:spacing w:val="-4"/>
          <w:szCs w:val="28"/>
          <w:lang w:val="vi-VN" w:eastAsia="zh-CN" w:bidi="ar"/>
        </w:rPr>
        <w:t xml:space="preserve">/SNNMT-QLĐĐ đề nghị chủ trương xây dựng văn bản quy phạm pháp luật. Trên cơ sở đề nghị của Sở Nông nghiệp và Môi trường và ý kiến của Sở Tư pháp, </w:t>
      </w:r>
      <w:r>
        <w:rPr>
          <w:spacing w:val="-4"/>
          <w:szCs w:val="28"/>
          <w:lang w:eastAsia="zh-CN" w:bidi="ar"/>
        </w:rPr>
        <w:t xml:space="preserve">Chủ tịch </w:t>
      </w:r>
      <w:r>
        <w:rPr>
          <w:spacing w:val="-4"/>
          <w:szCs w:val="28"/>
          <w:lang w:val="vi-VN" w:eastAsia="zh-CN" w:bidi="ar"/>
        </w:rPr>
        <w:t xml:space="preserve">UBND tỉnh đã thống nhất chủ trương xây dựng Quyết định và giao Sở Nông nghiệp và Môi trường chủ trì, phối hợp với các cơ quan, đơn vị, địa phương liên quan tổ chức soạn thảo, tham mưu UBND tỉnh theo đúng trình tự, quy định. </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bCs/>
          <w:spacing w:val="-4"/>
          <w:szCs w:val="28"/>
          <w:lang w:val="vi-VN" w:eastAsia="zh-CN" w:bidi="ar"/>
        </w:rPr>
      </w:pPr>
      <w:r>
        <w:rPr>
          <w:bCs/>
          <w:spacing w:val="-4"/>
          <w:szCs w:val="28"/>
          <w:lang w:eastAsia="zh-CN" w:bidi="ar"/>
        </w:rPr>
        <w:t xml:space="preserve">- </w:t>
      </w:r>
      <w:r>
        <w:rPr>
          <w:bCs/>
          <w:spacing w:val="-4"/>
          <w:szCs w:val="28"/>
          <w:lang w:val="vi-VN" w:eastAsia="zh-CN" w:bidi="ar"/>
        </w:rPr>
        <w:t>Thực hiện nhiệm vụ được giao, Sở Nông nghiệp và Môi trường đã xây dựng dự thảo Quyết định và tổ chức lấy ý kiến các cơ quan, đơn vị, địa phương có liên quan tại Văn bản số …/SNNMT-… ngày …/…/2026; đồng thời đăng tải dự thảo để lấy ý kiến theo quy định.</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bCs/>
          <w:spacing w:val="-4"/>
          <w:szCs w:val="28"/>
          <w:lang w:eastAsia="zh-CN" w:bidi="ar"/>
        </w:rPr>
      </w:pPr>
      <w:r>
        <w:rPr>
          <w:bCs/>
          <w:spacing w:val="-4"/>
          <w:szCs w:val="28"/>
          <w:lang w:eastAsia="zh-CN" w:bidi="ar"/>
        </w:rPr>
        <w:t xml:space="preserve">- </w:t>
      </w:r>
      <w:r>
        <w:rPr>
          <w:bCs/>
          <w:spacing w:val="-4"/>
          <w:szCs w:val="28"/>
          <w:lang w:val="vi-VN" w:eastAsia="zh-CN" w:bidi="ar"/>
        </w:rPr>
        <w:t>Trên cơ sở các ý kiến tham gia, Sở Nông nghiệp và Môi trường đã nghiên cứu, tiếp thu, giải trình, hoàn thiện dự thảo và gửi Sở Tư pháp thẩm định tại Văn bản số … ngày …/…/2026. Sở Tư pháp có Báo cáo thẩm định số …/BC-STP ngày …/…/2026. Sở Nông nghiệp và Môi trường đã tiếp thu, giải trình ý kiến thẩm định và hoàn thiện dự thảo Quyết định trình UBND tỉnh xem xét, ban hành.</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b/>
          <w:bCs/>
        </w:rPr>
      </w:pPr>
      <w:r>
        <w:rPr>
          <w:b/>
          <w:bCs/>
          <w:lang w:val="vi-VN"/>
        </w:rPr>
        <w:t>IV. PHẠM VI ĐIỀU CHỈNH, ĐỐI TƯỢNG ÁP DỤNG</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i/>
          <w:iCs/>
        </w:rPr>
      </w:pPr>
      <w:r>
        <w:rPr>
          <w:i/>
          <w:iCs/>
          <w:lang w:val="vi-VN"/>
        </w:rPr>
        <w:t>1. Phạm vi điều chỉnh</w:t>
      </w:r>
      <w:r>
        <w:rPr>
          <w:i/>
          <w:iCs/>
        </w:rPr>
        <w:t xml:space="preserve">: </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rPr>
          <w:lang w:val="vi-VN"/>
        </w:rPr>
        <w:t>Dự thảo Quyết định quy định 02 nhóm nội dung:</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t>- Quy định chi tiết khoản 10 Điều 111 Luật Đất đai năm 2024.</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t>- Sửa đổi, bổ sung một số điều của các Quyết định quy định liên quan đến tổ chức thi hành Luật Đất đai trên địa bàn tỉnh Hà Tĩnh tại các Quyết định: số 24/2024/QĐ-UBND ngày 18/10/2024; số số 28/2026/QĐ-UBND ngày 24/4/2026; số 34/2026/QĐ-UBND ngày 03/6/2026 và số 48/2026/QĐ-UBND ngày 06/7/2026 của UBND tỉnh.</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i/>
          <w:iCs/>
        </w:rPr>
      </w:pPr>
      <w:r>
        <w:rPr>
          <w:i/>
          <w:iCs/>
          <w:lang w:val="vi-VN"/>
        </w:rPr>
        <w:t>2. Đối tượng áp dụng</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szCs w:val="28"/>
        </w:rPr>
      </w:pPr>
      <w:r>
        <w:rPr>
          <w:szCs w:val="28"/>
        </w:rPr>
        <w:lastRenderedPageBreak/>
        <w:t>a)</w:t>
      </w:r>
      <w:r>
        <w:rPr>
          <w:szCs w:val="28"/>
          <w:lang w:val="vi-VN"/>
        </w:rPr>
        <w:t xml:space="preserve"> </w:t>
      </w:r>
      <w:r>
        <w:rPr>
          <w:szCs w:val="28"/>
        </w:rPr>
        <w:t>Ủy ban nhân dân tỉnh, Chủ tịch Ủy ban nhân dân tỉnh, Sở Tài chính; Sở Xây dựng; Thuế tỉnh Hà Tĩnh; Ủy ban nhân dân xã, phường (sau đây gọi là Ủy ban nhân dân cấp xã); Chủ tịch Ủy ban nhân dân cấp xã; cơ quan chuyên môn về nông nghiệp và môi trường cấp tỉnh; cơ quan chuyên môn nông nghiệp và môi trường cấp xã; Trung tâm phục vụ hành chính công tỉnh; Trung tâm phục vụ hành chính công cấp xã; đơn vị, tổ chức thực hiện nhiệm vụ bồi thường, hỗ trợ, tái định cư; Tổ chức phát triển quỹ đất và các cơ quan, đơn vị khác có liên quan;</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szCs w:val="28"/>
        </w:rPr>
      </w:pPr>
      <w:r>
        <w:rPr>
          <w:szCs w:val="28"/>
        </w:rPr>
        <w:t xml:space="preserve">b) </w:t>
      </w:r>
      <w:r>
        <w:rPr>
          <w:szCs w:val="28"/>
          <w:lang w:val="vi-VN"/>
        </w:rPr>
        <w:t>Người có đất thu hồi và chủ sở hữu tài sản gắn liền với đất thu hồi.</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szCs w:val="28"/>
        </w:rPr>
      </w:pPr>
      <w:r>
        <w:rPr>
          <w:szCs w:val="28"/>
        </w:rPr>
        <w:t>c)</w:t>
      </w:r>
      <w:r>
        <w:rPr>
          <w:szCs w:val="28"/>
          <w:lang w:val="vi-VN"/>
        </w:rPr>
        <w:t xml:space="preserve"> Tổ chức, hộ gia đình, cá nhân sử dụng đất.</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szCs w:val="28"/>
        </w:rPr>
      </w:pPr>
      <w:r>
        <w:rPr>
          <w:szCs w:val="28"/>
        </w:rPr>
        <w:t>d)</w:t>
      </w:r>
      <w:r>
        <w:rPr>
          <w:szCs w:val="28"/>
          <w:lang w:val="vi-VN"/>
        </w:rPr>
        <w:t xml:space="preserve"> Các đối tượng khác có liên quan đến việc quản lý, sử dụng đất.</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b/>
          <w:bCs/>
        </w:rPr>
      </w:pPr>
      <w:r>
        <w:rPr>
          <w:b/>
          <w:bCs/>
          <w:lang w:val="vi-VN"/>
        </w:rPr>
        <w:t>V. BỐ CỤC VÀ NỘI DUNG CƠ BẢN CỦA DỰ THẢO</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i/>
          <w:iCs/>
        </w:rPr>
      </w:pPr>
      <w:r>
        <w:rPr>
          <w:i/>
          <w:iCs/>
          <w:lang w:val="vi-VN"/>
        </w:rPr>
        <w:t>1. Bố cục</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rPr>
          <w:lang w:val="vi-VN"/>
        </w:rPr>
        <w:t xml:space="preserve">Dự thảo Quyết định gồm </w:t>
      </w:r>
      <w:r>
        <w:t>03 chương và 08 Điều, cụ thể:</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rPr>
          <w:lang w:val="vi-VN"/>
        </w:rPr>
        <w:t xml:space="preserve">Chương I: Quy định chung, gồm Điều 1 và Điều 2. </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rPr>
          <w:lang w:val="vi-VN"/>
        </w:rPr>
        <w:t xml:space="preserve">Chương II: </w:t>
      </w:r>
      <w:r>
        <w:t>Sửa đổi, bổ sung một số Điều tại các Quyết định liên quan gồm Điều 3 đến Điều 6.</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rPr>
          <w:lang w:val="vi-VN"/>
        </w:rPr>
        <w:t xml:space="preserve">Chương </w:t>
      </w:r>
      <w:r>
        <w:t>II</w:t>
      </w:r>
      <w:r>
        <w:rPr>
          <w:lang w:val="vi-VN"/>
        </w:rPr>
        <w:t xml:space="preserve">: </w:t>
      </w:r>
      <w:r>
        <w:t>Tổ chức thực hiện</w:t>
      </w:r>
      <w:r>
        <w:rPr>
          <w:lang w:val="vi-VN"/>
        </w:rPr>
        <w:t xml:space="preserve">, gồm Điều </w:t>
      </w:r>
      <w:r>
        <w:t>7</w:t>
      </w:r>
      <w:r>
        <w:rPr>
          <w:lang w:val="vi-VN"/>
        </w:rPr>
        <w:t xml:space="preserve"> và Điều </w:t>
      </w:r>
      <w:r>
        <w:t>8</w:t>
      </w:r>
      <w:r>
        <w:rPr>
          <w:lang w:val="vi-VN"/>
        </w:rPr>
        <w:t xml:space="preserve">. </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i/>
          <w:iCs/>
        </w:rPr>
      </w:pPr>
      <w:r>
        <w:rPr>
          <w:i/>
          <w:iCs/>
          <w:lang w:val="vi-VN"/>
        </w:rPr>
        <w:t>2. Một số nội dung chủ yếu</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t>Dự thảo sửa đổi bổ sung một số điều tại các Quyết định: số 24/2024/QĐ-UBND ngày 18/10/2024; số số 28/2026/QĐ-UBND ngày 24/4/2026 của UBND tỉnh liên quan đến việc bố trí tái định cư, thời gian hỗ trợ thuê nhà đối với trường hợp thu hồi đất trước khi hoàn thành việc bố trí tái định cư và hỗ trợ khác khi Nhà nước thu hồi đất trên địa bàn tỉnh Hà Tĩnh.</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rPr>
          <w:lang w:val="vi-VN"/>
        </w:rPr>
        <w:t xml:space="preserve">Đối với </w:t>
      </w:r>
      <w:r>
        <w:t>phân cấp, ủy quyền trong lĩnh vực đất đai quy định tại Quyết định số 34/2026/QĐ-UBND ngày 03/6/2026: bổ sung thẩm quyền của Chủ tịch UBND tỉnh trong chấp thuận về thỏa thuận nhận chuyển quyền sử dụng đất để thực hiện dự án trong trường hợp sử dụng đất trên địa giới từ 02 đơn vị hành chính cấp xã trở lên; bổ sung thẩm quyền của Chủ tịch UBND cấp xã trong điều chỉnh thời hạn sử dụng đất, gia hạn sử dụng đất, chuyển hình thức sử dụng đất  đối với cá nhân. Đồng thời bãi bỏ thẩm quyền phê duyệt phương án đấu giá quyền sử dụng đất đối với Chủ tịch UBND tỉnh và Chủ tịch UBND cấp xã do đã được quy định tại điểm c khoản 6 Điều 13 Nghị định số 49/2026/NĐ-CP.</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pPr>
      <w:r>
        <w:t>Đối với trình tự thủ tục hành chính trong lĩnh vực đất đai quy định tại Quyết định số 48/2026/QĐ-UBND ngày 06/7/2026: sửa đổi bổ sung về thành phần hồ sơ quy định tại Điều 7, Điều 13 và Điều 22 của Quyết định. Đồng thời bổ sung quy định việc xử lý tài sản gắn liền với đất trong trường hợp thu hồi đất tại các điểm a, d và đ khoản 1 và khoản 2 Điều 82 Luật Đất đai thực hiện theo quy định tại Điều 35 Nghị định số 102/2024/NĐ-CP của Chính phủ được sửa đổi, bổ sung tại khoản 5 Điều 4 Nghị định số 226/2025/NĐ-CP của Chính phủ tại Điều 4 của Quyết định.</w:t>
      </w:r>
      <w:bookmarkStart w:id="1" w:name="_GoBack"/>
      <w:bookmarkEnd w:id="1"/>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b/>
          <w:bCs/>
          <w:spacing w:val="-2"/>
          <w:position w:val="-6"/>
        </w:rPr>
      </w:pPr>
      <w:r>
        <w:rPr>
          <w:b/>
          <w:bCs/>
          <w:spacing w:val="-2"/>
          <w:position w:val="-6"/>
          <w:lang w:val="vi-VN"/>
        </w:rPr>
        <w:lastRenderedPageBreak/>
        <w:t>VI. HỒ SƠ TRÌNH BAN HÀNH</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bCs/>
          <w:spacing w:val="-2"/>
          <w:position w:val="-6"/>
        </w:rPr>
      </w:pPr>
      <w:r>
        <w:rPr>
          <w:bCs/>
          <w:spacing w:val="-2"/>
          <w:position w:val="-6"/>
          <w:lang w:val="vi-VN"/>
        </w:rPr>
        <w:t>Kèm theo Tờ trình gồm: dự thảo Quyết định của UBND tỉnh; dự thảo Quy định kèm theo Quyết định; Báo cáo thẩm định của Sở Tư pháp; Báo cáo giải trình, tiếp thu ý kiến thẩm định; bản tổng hợp, giải trình, tiếp thu ý kiến góp ý của các cơ quan, đơn vị và các tài liệu có liên quan theo quy định.</w:t>
      </w:r>
    </w:p>
    <w:p>
      <w:pPr>
        <w:pBdr>
          <w:top w:val="dotted" w:sz="4" w:space="0" w:color="FFFFFF"/>
          <w:left w:val="dotted" w:sz="4" w:space="0" w:color="FFFFFF"/>
          <w:bottom w:val="dotted" w:sz="4" w:space="22" w:color="FFFFFF"/>
          <w:right w:val="dotted" w:sz="4" w:space="0" w:color="FFFFFF"/>
        </w:pBdr>
        <w:shd w:val="clear" w:color="auto" w:fill="FFFFFF"/>
        <w:spacing w:before="80" w:line="340" w:lineRule="atLeast"/>
        <w:ind w:firstLine="720"/>
        <w:jc w:val="both"/>
        <w:rPr>
          <w:bCs/>
          <w:spacing w:val="-2"/>
          <w:position w:val="-6"/>
        </w:rPr>
      </w:pPr>
      <w:r>
        <w:rPr>
          <w:bCs/>
          <w:spacing w:val="-2"/>
          <w:position w:val="-6"/>
          <w:lang w:val="vi-VN"/>
        </w:rPr>
        <w:t xml:space="preserve">Sở Nông nghiệp và Môi trường kính trình Ủy ban nhân dân tỉnh xem xét, ban hành Quyết định </w:t>
      </w:r>
      <w:r>
        <w:rPr>
          <w:bCs/>
          <w:spacing w:val="-2"/>
          <w:position w:val="-6"/>
        </w:rPr>
        <w:t>sửa đổi, bổ sung một số điều tại các quyết định của Ủy ban nhân dân tỉnh</w:t>
      </w:r>
      <w:r>
        <w:rPr>
          <w:bCs/>
          <w:spacing w:val="-2"/>
          <w:position w:val="-6"/>
          <w:lang w:val="vi-VN"/>
        </w:rPr>
        <w:t>./</w:t>
      </w:r>
      <w:r>
        <w:rPr>
          <w:bCs/>
          <w:spacing w:val="-2"/>
          <w:position w:val="-6"/>
        </w:rPr>
        <w:t>.</w:t>
      </w:r>
    </w:p>
    <w:tbl>
      <w:tblPr>
        <w:tblpPr w:leftFromText="180" w:rightFromText="180" w:vertAnchor="text" w:horzAnchor="margin" w:tblpX="-142" w:tblpY="42"/>
        <w:tblW w:w="8789" w:type="dxa"/>
        <w:tblLook w:val="04A0" w:firstRow="1" w:lastRow="0" w:firstColumn="1" w:lastColumn="0" w:noHBand="0" w:noVBand="1"/>
      </w:tblPr>
      <w:tblGrid>
        <w:gridCol w:w="5387"/>
        <w:gridCol w:w="3402"/>
      </w:tblGrid>
      <w:tr>
        <w:trPr>
          <w:trHeight w:val="1730"/>
        </w:trPr>
        <w:tc>
          <w:tcPr>
            <w:tcW w:w="5387" w:type="dxa"/>
          </w:tcPr>
          <w:p>
            <w:pPr>
              <w:pStyle w:val="BodyTextIndent2"/>
              <w:spacing w:after="0" w:line="240" w:lineRule="auto"/>
              <w:ind w:left="0" w:right="-108"/>
              <w:rPr>
                <w:b/>
                <w:i/>
                <w:sz w:val="24"/>
                <w:szCs w:val="24"/>
                <w:lang w:val="nl-NL"/>
              </w:rPr>
            </w:pPr>
            <w:r>
              <w:rPr>
                <w:b/>
                <w:i/>
                <w:sz w:val="24"/>
                <w:szCs w:val="24"/>
                <w:lang w:val="nl-NL"/>
              </w:rPr>
              <w:t>Nơi nhận:</w:t>
            </w:r>
          </w:p>
          <w:p>
            <w:pPr>
              <w:pStyle w:val="BodyTextIndent2"/>
              <w:spacing w:after="0" w:line="240" w:lineRule="auto"/>
              <w:ind w:left="0" w:right="-108"/>
              <w:rPr>
                <w:sz w:val="22"/>
                <w:lang w:val="nl-NL"/>
              </w:rPr>
            </w:pPr>
            <w:r>
              <w:rPr>
                <w:sz w:val="22"/>
                <w:lang w:val="nl-NL"/>
              </w:rPr>
              <w:t>- Như trên;</w:t>
            </w:r>
          </w:p>
          <w:p>
            <w:pPr>
              <w:pStyle w:val="BodyTextIndent2"/>
              <w:spacing w:after="0" w:line="240" w:lineRule="auto"/>
              <w:ind w:left="0" w:right="-108"/>
              <w:rPr>
                <w:sz w:val="22"/>
                <w:lang w:val="nl-NL"/>
              </w:rPr>
            </w:pPr>
            <w:r>
              <w:rPr>
                <w:sz w:val="22"/>
                <w:lang w:val="nl-NL"/>
              </w:rPr>
              <w:t>- Giám đốc, PGĐ sở;</w:t>
            </w:r>
          </w:p>
          <w:p>
            <w:pPr>
              <w:pStyle w:val="BodyTextIndent2"/>
              <w:spacing w:after="0" w:line="240" w:lineRule="auto"/>
              <w:ind w:left="0" w:right="-108"/>
              <w:rPr>
                <w:sz w:val="22"/>
                <w:lang w:val="nl-NL"/>
              </w:rPr>
            </w:pPr>
            <w:r>
              <w:rPr>
                <w:sz w:val="22"/>
                <w:lang w:val="nl-NL"/>
              </w:rPr>
              <w:t>- Sở Tư pháp;</w:t>
            </w:r>
          </w:p>
          <w:p>
            <w:pPr>
              <w:pStyle w:val="BodyTextIndent2"/>
              <w:spacing w:after="0" w:line="240" w:lineRule="auto"/>
              <w:ind w:left="0" w:right="-108"/>
              <w:rPr>
                <w:sz w:val="22"/>
                <w:lang w:val="nl-NL"/>
              </w:rPr>
            </w:pPr>
            <w:r>
              <w:rPr>
                <w:sz w:val="22"/>
                <w:lang w:val="nl-NL"/>
              </w:rPr>
              <w:t>- Lưu: VT, QLĐĐ, TTT.</w:t>
            </w:r>
          </w:p>
          <w:p>
            <w:pPr>
              <w:ind w:right="-108"/>
              <w:rPr>
                <w:szCs w:val="28"/>
                <w:lang w:val="nl-NL"/>
              </w:rPr>
            </w:pPr>
          </w:p>
        </w:tc>
        <w:tc>
          <w:tcPr>
            <w:tcW w:w="3402" w:type="dxa"/>
          </w:tcPr>
          <w:p>
            <w:pPr>
              <w:pStyle w:val="BodyTextIndent2"/>
              <w:spacing w:after="0" w:line="240" w:lineRule="auto"/>
              <w:ind w:left="0" w:right="-108"/>
              <w:jc w:val="center"/>
              <w:rPr>
                <w:b/>
                <w:sz w:val="28"/>
                <w:szCs w:val="28"/>
                <w:lang w:val="nl-NL"/>
              </w:rPr>
            </w:pPr>
            <w:r>
              <w:rPr>
                <w:b/>
                <w:sz w:val="28"/>
                <w:szCs w:val="28"/>
                <w:lang w:val="nl-NL"/>
              </w:rPr>
              <w:t>Q. GIÁM ĐỐC</w:t>
            </w:r>
          </w:p>
          <w:p>
            <w:pPr>
              <w:pStyle w:val="BodyTextIndent2"/>
              <w:spacing w:before="120" w:line="288" w:lineRule="auto"/>
              <w:ind w:left="0" w:right="-108"/>
              <w:jc w:val="center"/>
              <w:rPr>
                <w:b/>
                <w:sz w:val="34"/>
                <w:szCs w:val="28"/>
                <w:lang w:val="nl-NL"/>
              </w:rPr>
            </w:pPr>
          </w:p>
          <w:p>
            <w:pPr>
              <w:pStyle w:val="BodyTextIndent2"/>
              <w:spacing w:before="120" w:line="288" w:lineRule="auto"/>
              <w:ind w:left="0" w:right="-108"/>
              <w:jc w:val="center"/>
              <w:rPr>
                <w:b/>
                <w:sz w:val="28"/>
                <w:szCs w:val="28"/>
                <w:lang w:val="nl-NL"/>
              </w:rPr>
            </w:pPr>
          </w:p>
          <w:p>
            <w:pPr>
              <w:pStyle w:val="BodyTextIndent2"/>
              <w:spacing w:before="120" w:line="288" w:lineRule="auto"/>
              <w:ind w:left="0" w:right="-108"/>
              <w:jc w:val="center"/>
              <w:rPr>
                <w:b/>
                <w:sz w:val="28"/>
                <w:szCs w:val="28"/>
                <w:lang w:val="nl-NL"/>
              </w:rPr>
            </w:pPr>
          </w:p>
          <w:p>
            <w:pPr>
              <w:pStyle w:val="BodyTextIndent2"/>
              <w:spacing w:before="120" w:line="288" w:lineRule="auto"/>
              <w:ind w:left="0" w:right="-108"/>
              <w:jc w:val="center"/>
              <w:rPr>
                <w:sz w:val="28"/>
                <w:szCs w:val="28"/>
              </w:rPr>
            </w:pPr>
            <w:r>
              <w:rPr>
                <w:b/>
                <w:sz w:val="28"/>
                <w:szCs w:val="28"/>
              </w:rPr>
              <w:t>Trương Văn Cường</w:t>
            </w:r>
          </w:p>
        </w:tc>
      </w:tr>
    </w:tbl>
    <w:p>
      <w:pPr>
        <w:pBdr>
          <w:top w:val="dotted" w:sz="4" w:space="0" w:color="FFFFFF"/>
          <w:left w:val="dotted" w:sz="4" w:space="0" w:color="FFFFFF"/>
          <w:bottom w:val="dotted" w:sz="4" w:space="22" w:color="FFFFFF"/>
          <w:right w:val="dotted" w:sz="4" w:space="0" w:color="FFFFFF"/>
        </w:pBdr>
        <w:shd w:val="clear" w:color="auto" w:fill="FFFFFF"/>
        <w:spacing w:before="80"/>
        <w:ind w:firstLine="720"/>
        <w:jc w:val="both"/>
      </w:pPr>
    </w:p>
    <w:p>
      <w:pPr>
        <w:pBdr>
          <w:top w:val="dotted" w:sz="4" w:space="0" w:color="FFFFFF"/>
          <w:left w:val="dotted" w:sz="4" w:space="0" w:color="FFFFFF"/>
          <w:bottom w:val="dotted" w:sz="4" w:space="22" w:color="FFFFFF"/>
          <w:right w:val="dotted" w:sz="4" w:space="0" w:color="FFFFFF"/>
        </w:pBdr>
        <w:shd w:val="clear" w:color="auto" w:fill="FFFFFF"/>
        <w:spacing w:before="80"/>
        <w:ind w:firstLine="720"/>
        <w:jc w:val="both"/>
        <w:rPr>
          <w:spacing w:val="-2"/>
          <w:position w:val="-6"/>
        </w:rPr>
      </w:pPr>
    </w:p>
    <w:p>
      <w:pPr>
        <w:widowControl w:val="0"/>
        <w:tabs>
          <w:tab w:val="right" w:leader="dot" w:pos="7920"/>
        </w:tabs>
        <w:spacing w:before="80" w:line="400" w:lineRule="exact"/>
        <w:jc w:val="both"/>
      </w:pPr>
    </w:p>
    <w:p>
      <w:pPr>
        <w:shd w:val="clear" w:color="auto" w:fill="FFFFFF"/>
        <w:spacing w:before="100"/>
        <w:ind w:firstLine="720"/>
        <w:jc w:val="both"/>
        <w:rPr>
          <w:szCs w:val="28"/>
        </w:rPr>
      </w:pPr>
    </w:p>
    <w:p>
      <w:pPr>
        <w:rPr>
          <w:b/>
        </w:rPr>
      </w:pPr>
    </w:p>
    <w:sectPr>
      <w:pgSz w:w="11907" w:h="16839" w:code="9"/>
      <w:pgMar w:top="720" w:right="1138" w:bottom="1138" w:left="1699"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A0AB2"/>
    <w:multiLevelType w:val="hybridMultilevel"/>
    <w:tmpl w:val="C65C6F22"/>
    <w:lvl w:ilvl="0" w:tplc="22380616">
      <w:start w:val="1"/>
      <w:numFmt w:val="decimal"/>
      <w:lvlText w:val="%1."/>
      <w:lvlJc w:val="left"/>
      <w:pPr>
        <w:ind w:left="928" w:hanging="360"/>
      </w:pPr>
      <w:rPr>
        <w:rFonts w:hint="default"/>
        <w:b/>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
    <w:nsid w:val="03132275"/>
    <w:multiLevelType w:val="hybridMultilevel"/>
    <w:tmpl w:val="B6AEB44A"/>
    <w:lvl w:ilvl="0" w:tplc="3294A4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6AE6582"/>
    <w:multiLevelType w:val="hybridMultilevel"/>
    <w:tmpl w:val="6F521950"/>
    <w:lvl w:ilvl="0" w:tplc="343E9D98">
      <w:start w:val="1"/>
      <w:numFmt w:val="decimal"/>
      <w:lvlText w:val="%1."/>
      <w:lvlJc w:val="left"/>
      <w:pPr>
        <w:ind w:left="928"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9DD0312"/>
    <w:multiLevelType w:val="hybridMultilevel"/>
    <w:tmpl w:val="FE5CB2F4"/>
    <w:lvl w:ilvl="0" w:tplc="D12E8B00">
      <w:start w:val="1"/>
      <w:numFmt w:val="bullet"/>
      <w:lvlText w:val="-"/>
      <w:lvlJc w:val="left"/>
      <w:pPr>
        <w:ind w:left="1080" w:hanging="360"/>
      </w:pPr>
      <w:rPr>
        <w:rFonts w:ascii="Times New Roman" w:eastAsia="Times New Roman"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EDA62C4"/>
    <w:multiLevelType w:val="hybridMultilevel"/>
    <w:tmpl w:val="9CDE65DE"/>
    <w:lvl w:ilvl="0" w:tplc="285CAA6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F7F2677"/>
    <w:multiLevelType w:val="multilevel"/>
    <w:tmpl w:val="C7ACA3B2"/>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13781E11"/>
    <w:multiLevelType w:val="hybridMultilevel"/>
    <w:tmpl w:val="232A58C6"/>
    <w:lvl w:ilvl="0" w:tplc="3F3A23D6">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7">
    <w:nsid w:val="1B0674CA"/>
    <w:multiLevelType w:val="hybridMultilevel"/>
    <w:tmpl w:val="8E666C26"/>
    <w:lvl w:ilvl="0" w:tplc="217E3B6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1B3E61F8"/>
    <w:multiLevelType w:val="hybridMultilevel"/>
    <w:tmpl w:val="B98CB896"/>
    <w:lvl w:ilvl="0" w:tplc="D21274A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C6161D1"/>
    <w:multiLevelType w:val="hybridMultilevel"/>
    <w:tmpl w:val="88C6AC18"/>
    <w:lvl w:ilvl="0" w:tplc="B09CC5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D23792E"/>
    <w:multiLevelType w:val="hybridMultilevel"/>
    <w:tmpl w:val="70C8198A"/>
    <w:lvl w:ilvl="0" w:tplc="27B47268">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1FAE01AA"/>
    <w:multiLevelType w:val="multilevel"/>
    <w:tmpl w:val="27624BB0"/>
    <w:lvl w:ilvl="0">
      <w:start w:val="1"/>
      <w:numFmt w:val="decimal"/>
      <w:lvlText w:val="%1."/>
      <w:lvlJc w:val="left"/>
      <w:pPr>
        <w:ind w:left="108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nsid w:val="28B6771E"/>
    <w:multiLevelType w:val="multilevel"/>
    <w:tmpl w:val="30F8F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047621C"/>
    <w:multiLevelType w:val="hybridMultilevel"/>
    <w:tmpl w:val="C364653C"/>
    <w:lvl w:ilvl="0" w:tplc="0DEC5BA8">
      <w:start w:val="2"/>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261FB0"/>
    <w:multiLevelType w:val="hybridMultilevel"/>
    <w:tmpl w:val="A61C219C"/>
    <w:lvl w:ilvl="0" w:tplc="85BCF3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93C6A4F"/>
    <w:multiLevelType w:val="hybridMultilevel"/>
    <w:tmpl w:val="CEF2B276"/>
    <w:lvl w:ilvl="0" w:tplc="7BFC18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E5760D0"/>
    <w:multiLevelType w:val="hybridMultilevel"/>
    <w:tmpl w:val="8A1E4AB2"/>
    <w:lvl w:ilvl="0" w:tplc="EC2E57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E9937AC"/>
    <w:multiLevelType w:val="hybridMultilevel"/>
    <w:tmpl w:val="E55CB010"/>
    <w:lvl w:ilvl="0" w:tplc="CE669A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44287BD2"/>
    <w:multiLevelType w:val="hybridMultilevel"/>
    <w:tmpl w:val="A2369C2E"/>
    <w:lvl w:ilvl="0" w:tplc="5B46E64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nsid w:val="4E6E2346"/>
    <w:multiLevelType w:val="hybridMultilevel"/>
    <w:tmpl w:val="D7B4B114"/>
    <w:lvl w:ilvl="0" w:tplc="AEC0B240">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95C5F87"/>
    <w:multiLevelType w:val="hybridMultilevel"/>
    <w:tmpl w:val="4FF85B42"/>
    <w:lvl w:ilvl="0" w:tplc="69208C3C">
      <w:start w:val="1"/>
      <w:numFmt w:val="decimal"/>
      <w:lvlText w:val="(%1)"/>
      <w:lvlJc w:val="left"/>
      <w:pPr>
        <w:ind w:left="1017" w:hanging="39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21">
    <w:nsid w:val="64D51A0D"/>
    <w:multiLevelType w:val="hybridMultilevel"/>
    <w:tmpl w:val="9A52E42E"/>
    <w:lvl w:ilvl="0" w:tplc="68A635CE">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2">
    <w:nsid w:val="671D7E00"/>
    <w:multiLevelType w:val="hybridMultilevel"/>
    <w:tmpl w:val="086C7E34"/>
    <w:lvl w:ilvl="0" w:tplc="956E362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6E116061"/>
    <w:multiLevelType w:val="multilevel"/>
    <w:tmpl w:val="8AA45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5AF16A2"/>
    <w:multiLevelType w:val="hybridMultilevel"/>
    <w:tmpl w:val="13888D7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7444A8E"/>
    <w:multiLevelType w:val="hybridMultilevel"/>
    <w:tmpl w:val="232A58C6"/>
    <w:lvl w:ilvl="0" w:tplc="3F3A23D6">
      <w:start w:val="1"/>
      <w:numFmt w:val="decimal"/>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6">
    <w:nsid w:val="774B4493"/>
    <w:multiLevelType w:val="hybridMultilevel"/>
    <w:tmpl w:val="C78CEFC8"/>
    <w:lvl w:ilvl="0" w:tplc="4A94803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7A8A4ECA"/>
    <w:multiLevelType w:val="hybridMultilevel"/>
    <w:tmpl w:val="281868AE"/>
    <w:lvl w:ilvl="0" w:tplc="52F606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7"/>
  </w:num>
  <w:num w:numId="2">
    <w:abstractNumId w:val="1"/>
  </w:num>
  <w:num w:numId="3">
    <w:abstractNumId w:val="13"/>
  </w:num>
  <w:num w:numId="4">
    <w:abstractNumId w:val="24"/>
  </w:num>
  <w:num w:numId="5">
    <w:abstractNumId w:val="17"/>
  </w:num>
  <w:num w:numId="6">
    <w:abstractNumId w:val="25"/>
  </w:num>
  <w:num w:numId="7">
    <w:abstractNumId w:val="6"/>
  </w:num>
  <w:num w:numId="8">
    <w:abstractNumId w:val="15"/>
  </w:num>
  <w:num w:numId="9">
    <w:abstractNumId w:val="26"/>
  </w:num>
  <w:num w:numId="10">
    <w:abstractNumId w:val="2"/>
  </w:num>
  <w:num w:numId="11">
    <w:abstractNumId w:val="16"/>
  </w:num>
  <w:num w:numId="12">
    <w:abstractNumId w:val="0"/>
  </w:num>
  <w:num w:numId="13">
    <w:abstractNumId w:val="19"/>
  </w:num>
  <w:num w:numId="14">
    <w:abstractNumId w:val="18"/>
  </w:num>
  <w:num w:numId="15">
    <w:abstractNumId w:val="20"/>
  </w:num>
  <w:num w:numId="16">
    <w:abstractNumId w:val="22"/>
  </w:num>
  <w:num w:numId="17">
    <w:abstractNumId w:val="3"/>
  </w:num>
  <w:num w:numId="18">
    <w:abstractNumId w:val="7"/>
  </w:num>
  <w:num w:numId="19">
    <w:abstractNumId w:val="11"/>
  </w:num>
  <w:num w:numId="20">
    <w:abstractNumId w:val="5"/>
  </w:num>
  <w:num w:numId="21">
    <w:abstractNumId w:val="14"/>
  </w:num>
  <w:num w:numId="22">
    <w:abstractNumId w:val="9"/>
  </w:num>
  <w:num w:numId="23">
    <w:abstractNumId w:val="21"/>
  </w:num>
  <w:num w:numId="24">
    <w:abstractNumId w:val="10"/>
  </w:num>
  <w:num w:numId="25">
    <w:abstractNumId w:val="4"/>
  </w:num>
  <w:num w:numId="26">
    <w:abstractNumId w:val="8"/>
  </w:num>
  <w:num w:numId="27">
    <w:abstractNumId w:val="1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8"/>
      <w:szCs w:val="24"/>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ascii="Times New Roman" w:eastAsia="Arial Unicode MS" w:hAnsi="Times New Roman"/>
      <w:color w:val="000000"/>
      <w:sz w:val="24"/>
      <w:u w:color="000000"/>
    </w:r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table" w:styleId="TableGrid">
    <w:name w:val="Table Grid"/>
    <w:basedOn w:val="TableNormal"/>
    <w:uiPriority w:val="3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rPr>
      <w:szCs w:val="28"/>
    </w:rPr>
  </w:style>
  <w:style w:type="paragraph" w:customStyle="1" w:styleId="Char1CharCharCharCharCharCharCharCharCharCharCharCharCharCharCharChar1CharChar">
    <w:name w:val="Char1 Char Char Char Char Char Char Char Char Char Char Char Char Char Char Char Char1 Char Char"/>
    <w:basedOn w:val="Normal"/>
    <w:pPr>
      <w:widowControl w:val="0"/>
      <w:jc w:val="both"/>
    </w:pPr>
    <w:rPr>
      <w:rFonts w:eastAsia="SimSun"/>
      <w:kern w:val="2"/>
      <w:sz w:val="24"/>
      <w:szCs w:val="26"/>
      <w:lang w:eastAsia="zh-CN"/>
    </w:rPr>
  </w:style>
  <w:style w:type="character" w:customStyle="1" w:styleId="fontstyle01">
    <w:name w:val="fontstyle01"/>
    <w:qFormat/>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pPr>
      <w:tabs>
        <w:tab w:val="center" w:pos="4680"/>
        <w:tab w:val="right" w:pos="9360"/>
      </w:tabs>
    </w:pPr>
    <w:rPr>
      <w:szCs w:val="28"/>
    </w:rPr>
  </w:style>
  <w:style w:type="character" w:customStyle="1" w:styleId="HeaderChar">
    <w:name w:val="Header Char"/>
    <w:link w:val="Header"/>
    <w:uiPriority w:val="99"/>
    <w:rPr>
      <w:rFonts w:ascii="Times New Roman" w:eastAsia="Times New Roman" w:hAnsi="Times New Roman"/>
      <w:sz w:val="28"/>
      <w:szCs w:val="28"/>
    </w:rPr>
  </w:style>
  <w:style w:type="paragraph" w:styleId="Footer">
    <w:name w:val="footer"/>
    <w:basedOn w:val="Normal"/>
    <w:link w:val="FooterChar"/>
    <w:uiPriority w:val="99"/>
    <w:unhideWhenUsed/>
    <w:pPr>
      <w:tabs>
        <w:tab w:val="center" w:pos="4680"/>
        <w:tab w:val="right" w:pos="9360"/>
      </w:tabs>
    </w:pPr>
    <w:rPr>
      <w:szCs w:val="28"/>
    </w:rPr>
  </w:style>
  <w:style w:type="character" w:customStyle="1" w:styleId="FooterChar">
    <w:name w:val="Footer Char"/>
    <w:link w:val="Footer"/>
    <w:uiPriority w:val="99"/>
    <w:rPr>
      <w:rFonts w:ascii="Times New Roman" w:eastAsia="Times New Roman" w:hAnsi="Times New Roman"/>
      <w:sz w:val="28"/>
      <w:szCs w:val="28"/>
    </w:rPr>
  </w:style>
  <w:style w:type="paragraph" w:styleId="NormalWeb">
    <w:name w:val="Normal (Web)"/>
    <w:basedOn w:val="Normal"/>
    <w:link w:val="NormalWebChar"/>
    <w:uiPriority w:val="99"/>
    <w:unhideWhenUsed/>
    <w:qFormat/>
    <w:pPr>
      <w:spacing w:before="100" w:beforeAutospacing="1" w:after="100" w:afterAutospacing="1"/>
    </w:pPr>
    <w:rPr>
      <w:sz w:val="24"/>
    </w:rPr>
  </w:style>
  <w:style w:type="paragraph" w:styleId="BodyTextIndent">
    <w:name w:val="Body Text Indent"/>
    <w:basedOn w:val="Normal"/>
    <w:link w:val="BodyTextIndentChar"/>
    <w:pPr>
      <w:spacing w:after="120"/>
      <w:ind w:left="283"/>
    </w:pPr>
    <w:rPr>
      <w:rFonts w:ascii=".VnTime" w:hAnsi=".VnTime"/>
      <w:szCs w:val="28"/>
    </w:rPr>
  </w:style>
  <w:style w:type="character" w:customStyle="1" w:styleId="BodyTextIndentChar">
    <w:name w:val="Body Text Indent Char"/>
    <w:basedOn w:val="DefaultParagraphFont"/>
    <w:link w:val="BodyTextIndent"/>
    <w:rPr>
      <w:rFonts w:ascii=".VnTime" w:eastAsia="Times New Roman" w:hAnsi=".VnTime"/>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w:basedOn w:val="Normal"/>
    <w:link w:val="FootnoteTextChar"/>
    <w:unhideWhenUsed/>
    <w:qFormat/>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qFormat/>
    <w:rPr>
      <w:rFonts w:ascii="Times New Roman" w:eastAsia="Times New Roman" w:hAnsi="Times New Roman"/>
    </w:rPr>
  </w:style>
  <w:style w:type="character" w:styleId="FootnoteReference">
    <w:name w:val="footnote reference"/>
    <w:aliases w:val="Footnote,Footnote text,SUPERS,Footnote dich,ftref,(NECG) Footnote Reference,16 Point,Superscript 6 Point,Footnote + Arial,10 pt,Black,fr,BVI fnr,footnote ref,Footnote Reference Number,Знак сноски 1,Ref,de nota al pie,R,f,BearingPoint"/>
    <w:basedOn w:val="DefaultParagraphFont"/>
    <w:link w:val="CharChar1CharCharCharChar1CharCharCharCharCharCharCharChar"/>
    <w:unhideWhenUsed/>
    <w:qFormat/>
    <w:rPr>
      <w:vertAlign w:val="superscript"/>
    </w:rPr>
  </w:style>
  <w:style w:type="character" w:customStyle="1" w:styleId="NormalWebChar">
    <w:name w:val="Normal (Web) Char"/>
    <w:link w:val="NormalWeb"/>
    <w:uiPriority w:val="99"/>
    <w:qFormat/>
    <w:locked/>
    <w:rPr>
      <w:rFonts w:ascii="Times New Roman" w:eastAsia="Times New Roman" w:hAnsi="Times New Roman"/>
      <w:sz w:val="24"/>
      <w:szCs w:val="24"/>
    </w:rPr>
  </w:style>
  <w:style w:type="paragraph" w:styleId="Revision">
    <w:name w:val="Revision"/>
    <w:hidden/>
    <w:uiPriority w:val="99"/>
    <w:semiHidden/>
    <w:rPr>
      <w:rFonts w:ascii="Times New Roman" w:eastAsia="Times New Roman" w:hAnsi="Times New Roman"/>
      <w:sz w:val="28"/>
      <w:szCs w:val="24"/>
    </w:rPr>
  </w:style>
  <w:style w:type="paragraph" w:styleId="BlockText">
    <w:name w:val="Block Text"/>
    <w:basedOn w:val="Normal"/>
    <w:pPr>
      <w:tabs>
        <w:tab w:val="center" w:pos="1134"/>
        <w:tab w:val="center" w:pos="7371"/>
      </w:tabs>
      <w:ind w:left="-851" w:right="-568"/>
    </w:pPr>
    <w:rPr>
      <w:szCs w:val="20"/>
    </w:rPr>
  </w:style>
  <w:style w:type="paragraph" w:styleId="BodyTextIndent2">
    <w:name w:val="Body Text Indent 2"/>
    <w:basedOn w:val="Normal"/>
    <w:link w:val="BodyTextIndent2Char"/>
    <w:pPr>
      <w:spacing w:after="120" w:line="480" w:lineRule="auto"/>
      <w:ind w:left="360"/>
      <w:jc w:val="both"/>
    </w:pPr>
    <w:rPr>
      <w:rFonts w:eastAsia="Calibri"/>
      <w:sz w:val="26"/>
      <w:szCs w:val="22"/>
    </w:rPr>
  </w:style>
  <w:style w:type="character" w:customStyle="1" w:styleId="BodyTextIndent2Char">
    <w:name w:val="Body Text Indent 2 Char"/>
    <w:basedOn w:val="DefaultParagraphFont"/>
    <w:link w:val="BodyTextIndent2"/>
    <w:rPr>
      <w:rFonts w:ascii="Times New Roman" w:hAnsi="Times New Roman"/>
      <w:sz w:val="26"/>
      <w:szCs w:val="22"/>
    </w:rPr>
  </w:style>
  <w:style w:type="paragraph" w:customStyle="1" w:styleId="x-scope">
    <w:name w:val="x-scope"/>
    <w:basedOn w:val="Normal"/>
    <w:pPr>
      <w:spacing w:before="100" w:beforeAutospacing="1" w:after="100" w:afterAutospacing="1"/>
    </w:pPr>
    <w:rPr>
      <w:sz w:val="24"/>
    </w:rPr>
  </w:style>
  <w:style w:type="paragraph" w:customStyle="1" w:styleId="Default">
    <w:name w:val="Default"/>
    <w:pPr>
      <w:autoSpaceDE w:val="0"/>
      <w:autoSpaceDN w:val="0"/>
      <w:adjustRightInd w:val="0"/>
    </w:pPr>
    <w:rPr>
      <w:rFonts w:ascii="Times New Roman" w:eastAsiaTheme="minorHAnsi" w:hAnsi="Times New Roman"/>
      <w:color w:val="000000"/>
      <w:sz w:val="24"/>
      <w:szCs w:val="24"/>
    </w:rPr>
  </w:style>
  <w:style w:type="paragraph" w:customStyle="1" w:styleId="qowt-stl-normal">
    <w:name w:val="qowt-stl-normal"/>
    <w:basedOn w:val="Normal"/>
    <w:pPr>
      <w:spacing w:before="100" w:beforeAutospacing="1" w:after="100" w:afterAutospacing="1"/>
    </w:pPr>
    <w:rPr>
      <w:sz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pPr>
      <w:keepNext/>
      <w:spacing w:after="160" w:line="240" w:lineRule="exact"/>
    </w:pPr>
    <w:rPr>
      <w:rFonts w:ascii="Calibri" w:eastAsia="Calibri" w:hAnsi="Calibri"/>
      <w:sz w:val="20"/>
      <w:szCs w:val="20"/>
      <w:vertAlign w:val="superscript"/>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8"/>
      <w:szCs w:val="28"/>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rFonts w:ascii="Times New Roman" w:eastAsia="Times New Roman" w:hAnsi="Times New Roman"/>
      <w:sz w:val="16"/>
      <w:szCs w:val="16"/>
    </w:rPr>
  </w:style>
  <w:style w:type="paragraph" w:customStyle="1" w:styleId="Char2">
    <w:name w:val="Char2"/>
    <w:basedOn w:val="Normal"/>
    <w:pPr>
      <w:spacing w:after="160" w:line="240" w:lineRule="exact"/>
    </w:pPr>
    <w:rPr>
      <w:rFonts w:ascii="Verdana" w:hAnsi="Verdana"/>
      <w:sz w:val="20"/>
      <w:szCs w:val="20"/>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8"/>
      <w:szCs w:val="24"/>
    </w:rPr>
  </w:style>
  <w:style w:type="paragraph" w:styleId="Heading3">
    <w:name w:val="heading 3"/>
    <w:basedOn w:val="Normal"/>
    <w:next w:val="Normal"/>
    <w:link w:val="Heading3Char"/>
    <w:uiPriority w:val="9"/>
    <w:semiHidden/>
    <w:unhideWhenUsed/>
    <w:qFormat/>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unhideWhenUsed/>
    <w:qFormat/>
    <w:pPr>
      <w:keepNext/>
      <w:keepLines/>
      <w:spacing w:before="40"/>
      <w:outlineLvl w:val="3"/>
    </w:pPr>
    <w:rPr>
      <w:rFonts w:asciiTheme="majorHAnsi" w:eastAsiaTheme="majorEastAsia" w:hAnsiTheme="majorHAnsi" w:cstheme="majorBidi"/>
      <w:i/>
      <w:iCs/>
      <w:color w:val="2E74B5" w:themeColor="accent1" w:themeShade="BF"/>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ascii="Times New Roman" w:eastAsia="Arial Unicode MS" w:hAnsi="Times New Roman"/>
      <w:color w:val="000000"/>
      <w:sz w:val="24"/>
      <w:u w:color="000000"/>
    </w:rPr>
  </w:style>
  <w:style w:type="character" w:styleId="Hyperlink">
    <w:name w:val="Hyperlink"/>
    <w:uiPriority w:val="99"/>
    <w:unhideWhenUsed/>
    <w:rPr>
      <w:color w:val="0000FF"/>
      <w:u w:val="singl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link w:val="BalloonText"/>
    <w:uiPriority w:val="99"/>
    <w:semiHidden/>
    <w:rPr>
      <w:rFonts w:ascii="Tahoma" w:eastAsia="Times New Roman" w:hAnsi="Tahoma" w:cs="Tahoma"/>
      <w:sz w:val="16"/>
      <w:szCs w:val="16"/>
    </w:rPr>
  </w:style>
  <w:style w:type="table" w:styleId="TableGrid">
    <w:name w:val="Table Grid"/>
    <w:basedOn w:val="TableNormal"/>
    <w:uiPriority w:val="3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rPr>
      <w:szCs w:val="28"/>
    </w:rPr>
  </w:style>
  <w:style w:type="paragraph" w:customStyle="1" w:styleId="Char1CharCharCharCharCharCharCharCharCharCharCharCharCharCharCharChar1CharChar">
    <w:name w:val="Char1 Char Char Char Char Char Char Char Char Char Char Char Char Char Char Char Char1 Char Char"/>
    <w:basedOn w:val="Normal"/>
    <w:pPr>
      <w:widowControl w:val="0"/>
      <w:jc w:val="both"/>
    </w:pPr>
    <w:rPr>
      <w:rFonts w:eastAsia="SimSun"/>
      <w:kern w:val="2"/>
      <w:sz w:val="24"/>
      <w:szCs w:val="26"/>
      <w:lang w:eastAsia="zh-CN"/>
    </w:rPr>
  </w:style>
  <w:style w:type="character" w:customStyle="1" w:styleId="fontstyle01">
    <w:name w:val="fontstyle01"/>
    <w:qFormat/>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pPr>
      <w:tabs>
        <w:tab w:val="center" w:pos="4680"/>
        <w:tab w:val="right" w:pos="9360"/>
      </w:tabs>
    </w:pPr>
    <w:rPr>
      <w:szCs w:val="28"/>
    </w:rPr>
  </w:style>
  <w:style w:type="character" w:customStyle="1" w:styleId="HeaderChar">
    <w:name w:val="Header Char"/>
    <w:link w:val="Header"/>
    <w:uiPriority w:val="99"/>
    <w:rPr>
      <w:rFonts w:ascii="Times New Roman" w:eastAsia="Times New Roman" w:hAnsi="Times New Roman"/>
      <w:sz w:val="28"/>
      <w:szCs w:val="28"/>
    </w:rPr>
  </w:style>
  <w:style w:type="paragraph" w:styleId="Footer">
    <w:name w:val="footer"/>
    <w:basedOn w:val="Normal"/>
    <w:link w:val="FooterChar"/>
    <w:uiPriority w:val="99"/>
    <w:unhideWhenUsed/>
    <w:pPr>
      <w:tabs>
        <w:tab w:val="center" w:pos="4680"/>
        <w:tab w:val="right" w:pos="9360"/>
      </w:tabs>
    </w:pPr>
    <w:rPr>
      <w:szCs w:val="28"/>
    </w:rPr>
  </w:style>
  <w:style w:type="character" w:customStyle="1" w:styleId="FooterChar">
    <w:name w:val="Footer Char"/>
    <w:link w:val="Footer"/>
    <w:uiPriority w:val="99"/>
    <w:rPr>
      <w:rFonts w:ascii="Times New Roman" w:eastAsia="Times New Roman" w:hAnsi="Times New Roman"/>
      <w:sz w:val="28"/>
      <w:szCs w:val="28"/>
    </w:rPr>
  </w:style>
  <w:style w:type="paragraph" w:styleId="NormalWeb">
    <w:name w:val="Normal (Web)"/>
    <w:basedOn w:val="Normal"/>
    <w:link w:val="NormalWebChar"/>
    <w:uiPriority w:val="99"/>
    <w:unhideWhenUsed/>
    <w:qFormat/>
    <w:pPr>
      <w:spacing w:before="100" w:beforeAutospacing="1" w:after="100" w:afterAutospacing="1"/>
    </w:pPr>
    <w:rPr>
      <w:sz w:val="24"/>
    </w:rPr>
  </w:style>
  <w:style w:type="paragraph" w:styleId="BodyTextIndent">
    <w:name w:val="Body Text Indent"/>
    <w:basedOn w:val="Normal"/>
    <w:link w:val="BodyTextIndentChar"/>
    <w:pPr>
      <w:spacing w:after="120"/>
      <w:ind w:left="283"/>
    </w:pPr>
    <w:rPr>
      <w:rFonts w:ascii=".VnTime" w:hAnsi=".VnTime"/>
      <w:szCs w:val="28"/>
    </w:rPr>
  </w:style>
  <w:style w:type="character" w:customStyle="1" w:styleId="BodyTextIndentChar">
    <w:name w:val="Body Text Indent Char"/>
    <w:basedOn w:val="DefaultParagraphFont"/>
    <w:link w:val="BodyTextIndent"/>
    <w:rPr>
      <w:rFonts w:ascii=".VnTime" w:eastAsia="Times New Roman" w:hAnsi=".VnTime"/>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
    <w:basedOn w:val="Normal"/>
    <w:link w:val="FootnoteTextChar"/>
    <w:unhideWhenUsed/>
    <w:qFormat/>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qFormat/>
    <w:rPr>
      <w:rFonts w:ascii="Times New Roman" w:eastAsia="Times New Roman" w:hAnsi="Times New Roman"/>
    </w:rPr>
  </w:style>
  <w:style w:type="character" w:styleId="FootnoteReference">
    <w:name w:val="footnote reference"/>
    <w:aliases w:val="Footnote,Footnote text,SUPERS,Footnote dich,ftref,(NECG) Footnote Reference,16 Point,Superscript 6 Point,Footnote + Arial,10 pt,Black,fr,BVI fnr,footnote ref,Footnote Reference Number,Знак сноски 1,Ref,de nota al pie,R,f,BearingPoint"/>
    <w:basedOn w:val="DefaultParagraphFont"/>
    <w:link w:val="CharChar1CharCharCharChar1CharCharCharCharCharCharCharChar"/>
    <w:unhideWhenUsed/>
    <w:qFormat/>
    <w:rPr>
      <w:vertAlign w:val="superscript"/>
    </w:rPr>
  </w:style>
  <w:style w:type="character" w:customStyle="1" w:styleId="NormalWebChar">
    <w:name w:val="Normal (Web) Char"/>
    <w:link w:val="NormalWeb"/>
    <w:uiPriority w:val="99"/>
    <w:qFormat/>
    <w:locked/>
    <w:rPr>
      <w:rFonts w:ascii="Times New Roman" w:eastAsia="Times New Roman" w:hAnsi="Times New Roman"/>
      <w:sz w:val="24"/>
      <w:szCs w:val="24"/>
    </w:rPr>
  </w:style>
  <w:style w:type="paragraph" w:styleId="Revision">
    <w:name w:val="Revision"/>
    <w:hidden/>
    <w:uiPriority w:val="99"/>
    <w:semiHidden/>
    <w:rPr>
      <w:rFonts w:ascii="Times New Roman" w:eastAsia="Times New Roman" w:hAnsi="Times New Roman"/>
      <w:sz w:val="28"/>
      <w:szCs w:val="24"/>
    </w:rPr>
  </w:style>
  <w:style w:type="paragraph" w:styleId="BlockText">
    <w:name w:val="Block Text"/>
    <w:basedOn w:val="Normal"/>
    <w:pPr>
      <w:tabs>
        <w:tab w:val="center" w:pos="1134"/>
        <w:tab w:val="center" w:pos="7371"/>
      </w:tabs>
      <w:ind w:left="-851" w:right="-568"/>
    </w:pPr>
    <w:rPr>
      <w:szCs w:val="20"/>
    </w:rPr>
  </w:style>
  <w:style w:type="paragraph" w:styleId="BodyTextIndent2">
    <w:name w:val="Body Text Indent 2"/>
    <w:basedOn w:val="Normal"/>
    <w:link w:val="BodyTextIndent2Char"/>
    <w:pPr>
      <w:spacing w:after="120" w:line="480" w:lineRule="auto"/>
      <w:ind w:left="360"/>
      <w:jc w:val="both"/>
    </w:pPr>
    <w:rPr>
      <w:rFonts w:eastAsia="Calibri"/>
      <w:sz w:val="26"/>
      <w:szCs w:val="22"/>
    </w:rPr>
  </w:style>
  <w:style w:type="character" w:customStyle="1" w:styleId="BodyTextIndent2Char">
    <w:name w:val="Body Text Indent 2 Char"/>
    <w:basedOn w:val="DefaultParagraphFont"/>
    <w:link w:val="BodyTextIndent2"/>
    <w:rPr>
      <w:rFonts w:ascii="Times New Roman" w:hAnsi="Times New Roman"/>
      <w:sz w:val="26"/>
      <w:szCs w:val="22"/>
    </w:rPr>
  </w:style>
  <w:style w:type="paragraph" w:customStyle="1" w:styleId="x-scope">
    <w:name w:val="x-scope"/>
    <w:basedOn w:val="Normal"/>
    <w:pPr>
      <w:spacing w:before="100" w:beforeAutospacing="1" w:after="100" w:afterAutospacing="1"/>
    </w:pPr>
    <w:rPr>
      <w:sz w:val="24"/>
    </w:rPr>
  </w:style>
  <w:style w:type="paragraph" w:customStyle="1" w:styleId="Default">
    <w:name w:val="Default"/>
    <w:pPr>
      <w:autoSpaceDE w:val="0"/>
      <w:autoSpaceDN w:val="0"/>
      <w:adjustRightInd w:val="0"/>
    </w:pPr>
    <w:rPr>
      <w:rFonts w:ascii="Times New Roman" w:eastAsiaTheme="minorHAnsi" w:hAnsi="Times New Roman"/>
      <w:color w:val="000000"/>
      <w:sz w:val="24"/>
      <w:szCs w:val="24"/>
    </w:rPr>
  </w:style>
  <w:style w:type="paragraph" w:customStyle="1" w:styleId="qowt-stl-normal">
    <w:name w:val="qowt-stl-normal"/>
    <w:basedOn w:val="Normal"/>
    <w:pPr>
      <w:spacing w:before="100" w:beforeAutospacing="1" w:after="100" w:afterAutospacing="1"/>
    </w:pPr>
    <w:rPr>
      <w:sz w:val="24"/>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pPr>
      <w:keepNext/>
      <w:spacing w:after="160" w:line="240" w:lineRule="exact"/>
    </w:pPr>
    <w:rPr>
      <w:rFonts w:ascii="Calibri" w:eastAsia="Calibri" w:hAnsi="Calibri"/>
      <w:sz w:val="20"/>
      <w:szCs w:val="20"/>
      <w:vertAlign w:val="superscript"/>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sz w:val="28"/>
      <w:szCs w:val="28"/>
    </w:rPr>
  </w:style>
  <w:style w:type="paragraph" w:styleId="BodyText3">
    <w:name w:val="Body Text 3"/>
    <w:basedOn w:val="Normal"/>
    <w:link w:val="BodyText3Char"/>
    <w:pPr>
      <w:spacing w:after="120"/>
    </w:pPr>
    <w:rPr>
      <w:sz w:val="16"/>
      <w:szCs w:val="16"/>
    </w:rPr>
  </w:style>
  <w:style w:type="character" w:customStyle="1" w:styleId="BodyText3Char">
    <w:name w:val="Body Text 3 Char"/>
    <w:basedOn w:val="DefaultParagraphFont"/>
    <w:link w:val="BodyText3"/>
    <w:rPr>
      <w:rFonts w:ascii="Times New Roman" w:eastAsia="Times New Roman" w:hAnsi="Times New Roman"/>
      <w:sz w:val="16"/>
      <w:szCs w:val="16"/>
    </w:rPr>
  </w:style>
  <w:style w:type="paragraph" w:customStyle="1" w:styleId="Char2">
    <w:name w:val="Char2"/>
    <w:basedOn w:val="Normal"/>
    <w:pPr>
      <w:spacing w:after="160" w:line="240" w:lineRule="exact"/>
    </w:pPr>
    <w:rPr>
      <w:rFonts w:ascii="Verdana" w:hAnsi="Verdana"/>
      <w:sz w:val="20"/>
      <w:szCs w:val="20"/>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328147">
      <w:bodyDiv w:val="1"/>
      <w:marLeft w:val="0"/>
      <w:marRight w:val="0"/>
      <w:marTop w:val="0"/>
      <w:marBottom w:val="0"/>
      <w:divBdr>
        <w:top w:val="none" w:sz="0" w:space="0" w:color="auto"/>
        <w:left w:val="none" w:sz="0" w:space="0" w:color="auto"/>
        <w:bottom w:val="none" w:sz="0" w:space="0" w:color="auto"/>
        <w:right w:val="none" w:sz="0" w:space="0" w:color="auto"/>
      </w:divBdr>
    </w:div>
    <w:div w:id="305087775">
      <w:bodyDiv w:val="1"/>
      <w:marLeft w:val="0"/>
      <w:marRight w:val="0"/>
      <w:marTop w:val="0"/>
      <w:marBottom w:val="0"/>
      <w:divBdr>
        <w:top w:val="none" w:sz="0" w:space="0" w:color="auto"/>
        <w:left w:val="none" w:sz="0" w:space="0" w:color="auto"/>
        <w:bottom w:val="none" w:sz="0" w:space="0" w:color="auto"/>
        <w:right w:val="none" w:sz="0" w:space="0" w:color="auto"/>
      </w:divBdr>
    </w:div>
    <w:div w:id="491533060">
      <w:bodyDiv w:val="1"/>
      <w:marLeft w:val="0"/>
      <w:marRight w:val="0"/>
      <w:marTop w:val="0"/>
      <w:marBottom w:val="0"/>
      <w:divBdr>
        <w:top w:val="none" w:sz="0" w:space="0" w:color="auto"/>
        <w:left w:val="none" w:sz="0" w:space="0" w:color="auto"/>
        <w:bottom w:val="none" w:sz="0" w:space="0" w:color="auto"/>
        <w:right w:val="none" w:sz="0" w:space="0" w:color="auto"/>
      </w:divBdr>
    </w:div>
    <w:div w:id="632633145">
      <w:bodyDiv w:val="1"/>
      <w:marLeft w:val="0"/>
      <w:marRight w:val="0"/>
      <w:marTop w:val="0"/>
      <w:marBottom w:val="0"/>
      <w:divBdr>
        <w:top w:val="none" w:sz="0" w:space="0" w:color="auto"/>
        <w:left w:val="none" w:sz="0" w:space="0" w:color="auto"/>
        <w:bottom w:val="none" w:sz="0" w:space="0" w:color="auto"/>
        <w:right w:val="none" w:sz="0" w:space="0" w:color="auto"/>
      </w:divBdr>
    </w:div>
    <w:div w:id="719329572">
      <w:bodyDiv w:val="1"/>
      <w:marLeft w:val="0"/>
      <w:marRight w:val="0"/>
      <w:marTop w:val="0"/>
      <w:marBottom w:val="0"/>
      <w:divBdr>
        <w:top w:val="none" w:sz="0" w:space="0" w:color="auto"/>
        <w:left w:val="none" w:sz="0" w:space="0" w:color="auto"/>
        <w:bottom w:val="none" w:sz="0" w:space="0" w:color="auto"/>
        <w:right w:val="none" w:sz="0" w:space="0" w:color="auto"/>
      </w:divBdr>
    </w:div>
    <w:div w:id="1292908084">
      <w:bodyDiv w:val="1"/>
      <w:marLeft w:val="0"/>
      <w:marRight w:val="0"/>
      <w:marTop w:val="0"/>
      <w:marBottom w:val="0"/>
      <w:divBdr>
        <w:top w:val="none" w:sz="0" w:space="0" w:color="auto"/>
        <w:left w:val="none" w:sz="0" w:space="0" w:color="auto"/>
        <w:bottom w:val="none" w:sz="0" w:space="0" w:color="auto"/>
        <w:right w:val="none" w:sz="0" w:space="0" w:color="auto"/>
      </w:divBdr>
    </w:div>
    <w:div w:id="1596547138">
      <w:bodyDiv w:val="1"/>
      <w:marLeft w:val="0"/>
      <w:marRight w:val="0"/>
      <w:marTop w:val="0"/>
      <w:marBottom w:val="0"/>
      <w:divBdr>
        <w:top w:val="none" w:sz="0" w:space="0" w:color="auto"/>
        <w:left w:val="none" w:sz="0" w:space="0" w:color="auto"/>
        <w:bottom w:val="none" w:sz="0" w:space="0" w:color="auto"/>
        <w:right w:val="none" w:sz="0" w:space="0" w:color="auto"/>
      </w:divBdr>
    </w:div>
    <w:div w:id="1905797545">
      <w:bodyDiv w:val="1"/>
      <w:marLeft w:val="0"/>
      <w:marRight w:val="0"/>
      <w:marTop w:val="0"/>
      <w:marBottom w:val="0"/>
      <w:divBdr>
        <w:top w:val="none" w:sz="0" w:space="0" w:color="auto"/>
        <w:left w:val="none" w:sz="0" w:space="0" w:color="auto"/>
        <w:bottom w:val="none" w:sz="0" w:space="0" w:color="auto"/>
        <w:right w:val="none" w:sz="0" w:space="0" w:color="auto"/>
      </w:divBdr>
    </w:div>
    <w:div w:id="192803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F52031-213C-47E8-851B-C0058DCE3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1637</Words>
  <Characters>9337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Phòng Đất đai 1 - Sở Tài Nguyên và Môi trường</vt:lpstr>
    </vt:vector>
  </TitlesOfParts>
  <Company>home</Company>
  <LinksUpToDate>false</LinksUpToDate>
  <CharactersWithSpaces>10953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Phòng Đất đai 1 - Sở Tài Nguyên và Môi trường</dc:title>
  <dc:creator>thanhsen</dc:creator>
  <cp:lastModifiedBy>PRO</cp:lastModifiedBy>
  <cp:revision>15</cp:revision>
  <cp:lastPrinted>2024-04-15T03:48:00Z</cp:lastPrinted>
  <dcterms:created xsi:type="dcterms:W3CDTF">2026-10-28T04:03:00Z</dcterms:created>
  <dcterms:modified xsi:type="dcterms:W3CDTF">2026-10-28T07:56:00Z</dcterms:modified>
</cp:coreProperties>
</file>