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9900" w:type="dxa"/>
        <w:tblInd w:w="-63" w:type="dxa"/>
        <w:tblLayout w:type="fixed"/>
        <w:tblCellMar>
          <w:top w:w="0" w:type="dxa"/>
          <w:left w:w="108" w:type="dxa"/>
          <w:bottom w:w="0" w:type="dxa"/>
          <w:right w:w="108" w:type="dxa"/>
        </w:tblCellMar>
      </w:tblPr>
      <w:tblGrid>
        <w:gridCol w:w="3420"/>
        <w:gridCol w:w="6480"/>
      </w:tblGrid>
      <w:tr w14:paraId="16B54381">
        <w:tblPrEx>
          <w:tblCellMar>
            <w:top w:w="0" w:type="dxa"/>
            <w:left w:w="108" w:type="dxa"/>
            <w:bottom w:w="0" w:type="dxa"/>
            <w:right w:w="108" w:type="dxa"/>
          </w:tblCellMar>
        </w:tblPrEx>
        <w:tc>
          <w:tcPr>
            <w:tcW w:w="3420" w:type="dxa"/>
          </w:tcPr>
          <w:p w14:paraId="0F20F729">
            <w:pPr>
              <w:spacing w:line="276" w:lineRule="auto"/>
              <w:jc w:val="center"/>
              <w:rPr>
                <w:b/>
              </w:rPr>
            </w:pPr>
            <w:bookmarkStart w:id="31" w:name="_GoBack"/>
            <w:bookmarkEnd w:id="31"/>
            <w:r>
              <w:rPr>
                <w:b/>
              </w:rPr>
              <w:t>HỘI ĐỒNG NHÂN DÂN</w:t>
            </w:r>
          </w:p>
          <w:p w14:paraId="06CA4181">
            <w:pPr>
              <w:spacing w:line="276" w:lineRule="auto"/>
              <w:jc w:val="center"/>
              <w:rPr>
                <w:b/>
              </w:rPr>
            </w:pPr>
            <w:r>
              <w:rPr>
                <w:b/>
              </w:rPr>
              <w:t>TỈNH HÀ TĨNH</w:t>
            </w:r>
          </w:p>
          <w:p w14:paraId="53DBCCCC">
            <w:pPr>
              <w:spacing w:line="276" w:lineRule="auto"/>
              <w:jc w:val="center"/>
              <w:rPr>
                <w:sz w:val="4"/>
              </w:rPr>
            </w:pPr>
            <w:r>
              <w:rPr>
                <w:b/>
                <w:u w:val="single"/>
              </w:rPr>
              <mc:AlternateContent>
                <mc:Choice Requires="wps">
                  <w:drawing>
                    <wp:anchor distT="0" distB="0" distL="114300" distR="114300" simplePos="0" relativeHeight="251659264" behindDoc="0" locked="0" layoutInCell="1" allowOverlap="1">
                      <wp:simplePos x="0" y="0"/>
                      <wp:positionH relativeFrom="column">
                        <wp:posOffset>619125</wp:posOffset>
                      </wp:positionH>
                      <wp:positionV relativeFrom="paragraph">
                        <wp:posOffset>25400</wp:posOffset>
                      </wp:positionV>
                      <wp:extent cx="800100" cy="0"/>
                      <wp:effectExtent l="9525" t="6350" r="9525" b="12700"/>
                      <wp:wrapNone/>
                      <wp:docPr id="4" name="Line 14"/>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ln>
                            </wps:spPr>
                            <wps:bodyPr/>
                          </wps:wsp>
                        </a:graphicData>
                      </a:graphic>
                    </wp:anchor>
                  </w:drawing>
                </mc:Choice>
                <mc:Fallback>
                  <w:pict>
                    <v:line id="Line 14" o:spid="_x0000_s1026" o:spt="20" style="position:absolute;left:0pt;margin-left:48.75pt;margin-top:2pt;height:0pt;width:63pt;z-index:251659264;mso-width-relative:page;mso-height-relative:page;" filled="f" stroked="t" coordsize="21600,21600" o:gfxdata="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IoCmaTTAAAABgEAAA8AAAAAAAAAAQAgAAAAIgAAAGRycy9kb3ducmV2&#10;LnhtbFBLAQIUABQAAAAIAIdO4kCjJy48yAEAAJ8DAAAOAAAAAAAAAAEAIAAAACIBAABkcnMvZTJv&#10;RG9jLnhtbFBLBQYAAAAABgAGAFkBAABcBQAAAAA=&#10;">
                      <v:fill on="f" focussize="0,0"/>
                      <v:stroke color="#000000" joinstyle="round"/>
                      <v:imagedata o:title=""/>
                      <o:lock v:ext="edit" aspectratio="f"/>
                    </v:line>
                  </w:pict>
                </mc:Fallback>
              </mc:AlternateContent>
            </w:r>
          </w:p>
          <w:p w14:paraId="635CD80D">
            <w:pPr>
              <w:spacing w:before="120" w:line="276" w:lineRule="auto"/>
              <w:jc w:val="center"/>
            </w:pPr>
            <w:r>
              <w:t>Số:</w:t>
            </w:r>
            <w:r>
              <w:rPr>
                <w:b/>
              </w:rPr>
              <w:t xml:space="preserve"> </w:t>
            </w:r>
            <w:r>
              <w:t xml:space="preserve">     /2026/NQ-HĐND</w:t>
            </w:r>
          </w:p>
          <w:p w14:paraId="39E9A6AB">
            <w:pPr>
              <w:spacing w:line="276" w:lineRule="auto"/>
              <w:jc w:val="center"/>
            </w:pPr>
            <w:r>
              <mc:AlternateContent>
                <mc:Choice Requires="wps">
                  <w:drawing>
                    <wp:anchor distT="0" distB="0" distL="114300" distR="114300" simplePos="0" relativeHeight="251662336" behindDoc="0" locked="0" layoutInCell="1" allowOverlap="1">
                      <wp:simplePos x="0" y="0"/>
                      <wp:positionH relativeFrom="column">
                        <wp:posOffset>-233045</wp:posOffset>
                      </wp:positionH>
                      <wp:positionV relativeFrom="paragraph">
                        <wp:posOffset>131445</wp:posOffset>
                      </wp:positionV>
                      <wp:extent cx="1162050" cy="314325"/>
                      <wp:effectExtent l="0" t="0" r="19050" b="28575"/>
                      <wp:wrapNone/>
                      <wp:docPr id="2" name="Rectangle 18"/>
                      <wp:cNvGraphicFramePr/>
                      <a:graphic xmlns:a="http://schemas.openxmlformats.org/drawingml/2006/main">
                        <a:graphicData uri="http://schemas.microsoft.com/office/word/2010/wordprocessingShape">
                          <wps:wsp>
                            <wps:cNvSpPr>
                              <a:spLocks noChangeArrowheads="1"/>
                            </wps:cNvSpPr>
                            <wps:spPr bwMode="auto">
                              <a:xfrm>
                                <a:off x="0" y="0"/>
                                <a:ext cx="1162050" cy="314325"/>
                              </a:xfrm>
                              <a:prstGeom prst="rect">
                                <a:avLst/>
                              </a:prstGeom>
                              <a:solidFill>
                                <a:srgbClr val="FFFFFF"/>
                              </a:solidFill>
                              <a:ln w="9525">
                                <a:solidFill>
                                  <a:srgbClr val="000000"/>
                                </a:solidFill>
                                <a:miter lim="800000"/>
                              </a:ln>
                            </wps:spPr>
                            <wps:txbx>
                              <w:txbxContent>
                                <w:p w14:paraId="73FE776A">
                                  <w:pPr>
                                    <w:jc w:val="center"/>
                                    <w:rPr>
                                      <w:b/>
                                    </w:rPr>
                                  </w:pPr>
                                  <w:r>
                                    <w:rPr>
                                      <w:b/>
                                    </w:rPr>
                                    <w:t>DỰ THẢO</w:t>
                                  </w:r>
                                </w:p>
                              </w:txbxContent>
                            </wps:txbx>
                            <wps:bodyPr rot="0" vert="horz" wrap="square" lIns="91440" tIns="45720" rIns="91440" bIns="45720" anchor="t" anchorCtr="0" upright="1">
                              <a:noAutofit/>
                            </wps:bodyPr>
                          </wps:wsp>
                        </a:graphicData>
                      </a:graphic>
                    </wp:anchor>
                  </w:drawing>
                </mc:Choice>
                <mc:Fallback>
                  <w:pict>
                    <v:rect id="Rectangle 18" o:spid="_x0000_s1026" o:spt="1" style="position:absolute;left:0pt;margin-left:-18.35pt;margin-top:10.35pt;height:24.75pt;width:91.5pt;z-index:251662336;mso-width-relative:page;mso-height-relative:page;" fillcolor="#FFFFFF" filled="t" stroked="t" coordsize="21600,21600" o:gfxdata="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7aN2wNgAAAAJAQAADwAAAAAAAAABACAAAAAiAAAAZHJzL2Rvd25yZXYueG1sUEsBAhQA&#10;FAAAAAgAh07iQAU6aQcrAgAAfgQAAA4AAAAAAAAAAQAgAAAAJwEAAGRycy9lMm9Eb2MueG1sUEsF&#10;BgAAAAAGAAYAWQEAAMQFAAAAAA==&#10;">
                      <v:fill on="t" focussize="0,0"/>
                      <v:stroke color="#000000" miterlimit="8" joinstyle="miter"/>
                      <v:imagedata o:title=""/>
                      <o:lock v:ext="edit" aspectratio="f"/>
                      <v:textbox>
                        <w:txbxContent>
                          <w:p w14:paraId="73FE776A">
                            <w:pPr>
                              <w:jc w:val="center"/>
                              <w:rPr>
                                <w:b/>
                              </w:rPr>
                            </w:pPr>
                            <w:r>
                              <w:rPr>
                                <w:b/>
                              </w:rPr>
                              <w:t>DỰ THẢO</w:t>
                            </w:r>
                          </w:p>
                        </w:txbxContent>
                      </v:textbox>
                    </v:rect>
                  </w:pict>
                </mc:Fallback>
              </mc:AlternateContent>
            </w:r>
          </w:p>
        </w:tc>
        <w:tc>
          <w:tcPr>
            <w:tcW w:w="6480" w:type="dxa"/>
          </w:tcPr>
          <w:p w14:paraId="18B48B35">
            <w:pPr>
              <w:spacing w:line="276" w:lineRule="auto"/>
              <w:jc w:val="center"/>
            </w:pPr>
            <w:r>
              <w:rPr>
                <w:b/>
              </w:rPr>
              <w:t>CỘNG HOÀ XÃ HỘI CHỦ NGHĨA VIỆT NAM</w:t>
            </w:r>
          </w:p>
          <w:p w14:paraId="3E6F8A7A">
            <w:pPr>
              <w:spacing w:line="276" w:lineRule="auto"/>
              <w:jc w:val="center"/>
              <w:rPr>
                <w:b/>
              </w:rPr>
            </w:pPr>
            <w:r>
              <w:rPr>
                <w:b/>
              </w:rPr>
              <w:t>Độc lập - Tự do - Hạnh phúc</w:t>
            </w:r>
          </w:p>
          <w:p w14:paraId="0EB8E8E7">
            <w:pPr>
              <w:spacing w:line="276" w:lineRule="auto"/>
              <w:jc w:val="center"/>
              <w:rPr>
                <w:b/>
                <w:i/>
                <w:sz w:val="8"/>
              </w:rPr>
            </w:pPr>
            <w:r>
              <w:rPr>
                <w:vertAlign w:val="superscript"/>
              </w:rPr>
              <mc:AlternateContent>
                <mc:Choice Requires="wps">
                  <w:drawing>
                    <wp:anchor distT="0" distB="0" distL="114300" distR="114300" simplePos="0" relativeHeight="251660288" behindDoc="0" locked="0" layoutInCell="1" allowOverlap="1">
                      <wp:simplePos x="0" y="0"/>
                      <wp:positionH relativeFrom="column">
                        <wp:posOffset>1017270</wp:posOffset>
                      </wp:positionH>
                      <wp:positionV relativeFrom="paragraph">
                        <wp:posOffset>31115</wp:posOffset>
                      </wp:positionV>
                      <wp:extent cx="2007235" cy="0"/>
                      <wp:effectExtent l="7620" t="12065" r="13970" b="6985"/>
                      <wp:wrapNone/>
                      <wp:docPr id="3" name="Line 15"/>
                      <wp:cNvGraphicFramePr/>
                      <a:graphic xmlns:a="http://schemas.openxmlformats.org/drawingml/2006/main">
                        <a:graphicData uri="http://schemas.microsoft.com/office/word/2010/wordprocessingShape">
                          <wps:wsp>
                            <wps:cNvCnPr>
                              <a:cxnSpLocks noChangeShapeType="1"/>
                            </wps:cNvCnPr>
                            <wps:spPr bwMode="auto">
                              <a:xfrm>
                                <a:off x="0" y="0"/>
                                <a:ext cx="2007235" cy="0"/>
                              </a:xfrm>
                              <a:prstGeom prst="line">
                                <a:avLst/>
                              </a:prstGeom>
                              <a:noFill/>
                              <a:ln w="9525">
                                <a:solidFill>
                                  <a:srgbClr val="000000"/>
                                </a:solidFill>
                                <a:round/>
                              </a:ln>
                            </wps:spPr>
                            <wps:bodyPr/>
                          </wps:wsp>
                        </a:graphicData>
                      </a:graphic>
                    </wp:anchor>
                  </w:drawing>
                </mc:Choice>
                <mc:Fallback>
                  <w:pict>
                    <v:line id="Line 15" o:spid="_x0000_s1026" o:spt="20" style="position:absolute;left:0pt;margin-left:80.1pt;margin-top:2.45pt;height:0pt;width:158.05pt;z-index:251660288;mso-width-relative:page;mso-height-relative:page;" filled="f" stroked="t" coordsize="21600,21600" o:gfxdata="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wakHjUAAAABwEAAA8AAAAAAAAAAQAgAAAAIgAAAGRycy9kb3du&#10;cmV2LnhtbFBLAQIUABQAAAAIAIdO4kBsSceNygEAAKADAAAOAAAAAAAAAAEAIAAAACMBAABkcnMv&#10;ZTJvRG9jLnhtbFBLBQYAAAAABgAGAFkBAABfBQAAAAA=&#10;">
                      <v:fill on="f" focussize="0,0"/>
                      <v:stroke color="#000000" joinstyle="round"/>
                      <v:imagedata o:title=""/>
                      <o:lock v:ext="edit" aspectratio="f"/>
                    </v:line>
                  </w:pict>
                </mc:Fallback>
              </mc:AlternateContent>
            </w:r>
          </w:p>
          <w:p w14:paraId="6DB9EB08">
            <w:pPr>
              <w:spacing w:before="120" w:line="276" w:lineRule="auto"/>
              <w:jc w:val="center"/>
            </w:pPr>
            <w:r>
              <w:rPr>
                <w:i/>
              </w:rPr>
              <w:t xml:space="preserve">           Hà Tĩnh, ngày       tháng  12  năm 2026</w:t>
            </w:r>
          </w:p>
        </w:tc>
      </w:tr>
    </w:tbl>
    <w:p w14:paraId="7F1E4B16">
      <w:pPr>
        <w:tabs>
          <w:tab w:val="left" w:pos="327"/>
        </w:tabs>
        <w:spacing w:before="120" w:line="276" w:lineRule="auto"/>
        <w:jc w:val="both"/>
        <w:rPr>
          <w:b/>
          <w:sz w:val="14"/>
        </w:rPr>
      </w:pPr>
    </w:p>
    <w:p w14:paraId="3E0882D2">
      <w:pPr>
        <w:tabs>
          <w:tab w:val="left" w:pos="327"/>
        </w:tabs>
        <w:spacing w:before="120" w:line="276" w:lineRule="auto"/>
        <w:jc w:val="center"/>
        <w:rPr>
          <w:b/>
          <w:lang w:val="vi-VN"/>
        </w:rPr>
      </w:pPr>
      <w:r>
        <w:rPr>
          <w:b/>
          <w:lang w:val="vi-VN"/>
        </w:rPr>
        <w:t>NGHỊ QUYẾT</w:t>
      </w:r>
    </w:p>
    <w:p w14:paraId="429DCB40">
      <w:pPr>
        <w:spacing w:before="120" w:line="276" w:lineRule="auto"/>
        <w:ind w:left="720"/>
        <w:jc w:val="center"/>
        <w:rPr>
          <w:b/>
          <w:sz w:val="18"/>
        </w:rPr>
      </w:pPr>
      <w:r>
        <w:rPr>
          <w:b/>
          <w:spacing w:val="-4"/>
        </w:rPr>
        <w:t>Nghị quyết phân cấp nguồn thu, tỷ lệ phần trăm (%) phân chia các khoản thu, phân cấp nhiệm vụ chi giữa ngân sách cấp tỉnh và ngân sách cấp xã giai đoạn 2027-2030; nguyên tắc, tiêu chí và định mức phân bổ chi thường xuyên ngân sách địa phương năm 2027</w:t>
      </w:r>
    </w:p>
    <w:p w14:paraId="68F6EA49">
      <w:pPr>
        <w:spacing w:before="120" w:line="276" w:lineRule="auto"/>
        <w:jc w:val="center"/>
        <w:rPr>
          <w:b/>
          <w:bCs/>
          <w:sz w:val="16"/>
          <w:szCs w:val="16"/>
          <w:lang w:val="vi-VN"/>
        </w:rPr>
      </w:pPr>
      <w:r>
        <w:rPr>
          <w:b/>
          <w:bCs/>
          <w:sz w:val="16"/>
          <w:szCs w:val="16"/>
        </w:rPr>
        <mc:AlternateContent>
          <mc:Choice Requires="wps">
            <w:drawing>
              <wp:anchor distT="0" distB="0" distL="114300" distR="114300" simplePos="0" relativeHeight="251661312" behindDoc="0" locked="0" layoutInCell="1" allowOverlap="1">
                <wp:simplePos x="0" y="0"/>
                <wp:positionH relativeFrom="column">
                  <wp:posOffset>1875155</wp:posOffset>
                </wp:positionH>
                <wp:positionV relativeFrom="paragraph">
                  <wp:posOffset>19050</wp:posOffset>
                </wp:positionV>
                <wp:extent cx="1956435" cy="0"/>
                <wp:effectExtent l="0" t="0" r="24765" b="19050"/>
                <wp:wrapNone/>
                <wp:docPr id="1" name="Line 16"/>
                <wp:cNvGraphicFramePr/>
                <a:graphic xmlns:a="http://schemas.openxmlformats.org/drawingml/2006/main">
                  <a:graphicData uri="http://schemas.microsoft.com/office/word/2010/wordprocessingShape">
                    <wps:wsp>
                      <wps:cNvCnPr>
                        <a:cxnSpLocks noChangeShapeType="1"/>
                      </wps:cNvCnPr>
                      <wps:spPr bwMode="auto">
                        <a:xfrm>
                          <a:off x="0" y="0"/>
                          <a:ext cx="1956670" cy="0"/>
                        </a:xfrm>
                        <a:prstGeom prst="line">
                          <a:avLst/>
                        </a:prstGeom>
                        <a:noFill/>
                        <a:ln w="9525">
                          <a:solidFill>
                            <a:srgbClr val="000000"/>
                          </a:solidFill>
                          <a:round/>
                        </a:ln>
                      </wps:spPr>
                      <wps:bodyPr/>
                    </wps:wsp>
                  </a:graphicData>
                </a:graphic>
              </wp:anchor>
            </w:drawing>
          </mc:Choice>
          <mc:Fallback>
            <w:pict>
              <v:line id="Line 16" o:spid="_x0000_s1026" o:spt="20" style="position:absolute;left:0pt;margin-left:147.65pt;margin-top:1.5pt;height:0pt;width:154.05pt;z-index:251661312;mso-width-relative:page;mso-height-relative:page;" filled="f" stroked="t" coordsize="21600,21600" o:gfxdata="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1Dw0nUAAAABwEAAA8AAAAAAAAAAQAgAAAAIgAAAGRycy9kb3du&#10;cmV2LnhtbFBLAQIUABQAAAAIAIdO4kAC6LIOygEAAKADAAAOAAAAAAAAAAEAIAAAACMBAABkcnMv&#10;ZTJvRG9jLnhtbFBLBQYAAAAABgAGAFkBAABfBQAAAAA=&#10;">
                <v:fill on="f" focussize="0,0"/>
                <v:stroke color="#000000" joinstyle="round"/>
                <v:imagedata o:title=""/>
                <o:lock v:ext="edit" aspectratio="f"/>
              </v:line>
            </w:pict>
          </mc:Fallback>
        </mc:AlternateContent>
      </w:r>
    </w:p>
    <w:p w14:paraId="115D2546">
      <w:pPr>
        <w:spacing w:before="120" w:line="276" w:lineRule="auto"/>
        <w:jc w:val="center"/>
        <w:rPr>
          <w:b/>
          <w:bCs/>
          <w:sz w:val="24"/>
          <w:szCs w:val="24"/>
          <w:lang w:val="vi-VN"/>
        </w:rPr>
      </w:pPr>
      <w:r>
        <w:rPr>
          <w:b/>
          <w:sz w:val="24"/>
          <w:szCs w:val="24"/>
          <w:lang w:val="vi-VN"/>
        </w:rPr>
        <w:t>HỘI ĐỒNG NHÂN DÂN TỈNH HÀ TĨNH</w:t>
      </w:r>
    </w:p>
    <w:p w14:paraId="5F389B21">
      <w:pPr>
        <w:spacing w:before="120" w:line="276" w:lineRule="auto"/>
        <w:jc w:val="center"/>
        <w:rPr>
          <w:b/>
          <w:sz w:val="24"/>
          <w:szCs w:val="24"/>
        </w:rPr>
      </w:pPr>
      <w:r>
        <w:rPr>
          <w:b/>
          <w:sz w:val="24"/>
          <w:szCs w:val="24"/>
          <w:lang w:val="vi-VN"/>
        </w:rPr>
        <w:t>KHÓA XV</w:t>
      </w:r>
      <w:r>
        <w:rPr>
          <w:b/>
          <w:sz w:val="24"/>
          <w:szCs w:val="24"/>
        </w:rPr>
        <w:t>II</w:t>
      </w:r>
      <w:r>
        <w:rPr>
          <w:b/>
          <w:sz w:val="24"/>
          <w:szCs w:val="24"/>
          <w:lang w:val="vi-VN"/>
        </w:rPr>
        <w:t xml:space="preserve">, KỲ HỌP THỨ </w:t>
      </w:r>
      <w:r>
        <w:rPr>
          <w:b/>
          <w:sz w:val="24"/>
          <w:szCs w:val="24"/>
        </w:rPr>
        <w:t>…</w:t>
      </w:r>
    </w:p>
    <w:p w14:paraId="55C4341C">
      <w:pPr>
        <w:spacing w:before="120" w:line="276" w:lineRule="auto"/>
        <w:jc w:val="both"/>
        <w:rPr>
          <w:b/>
          <w:sz w:val="16"/>
          <w:szCs w:val="16"/>
          <w:lang w:val="vi-VN"/>
        </w:rPr>
      </w:pPr>
    </w:p>
    <w:p w14:paraId="6CE4392A">
      <w:pPr>
        <w:spacing w:before="120" w:line="276" w:lineRule="auto"/>
        <w:ind w:firstLine="720"/>
        <w:jc w:val="both"/>
        <w:rPr>
          <w:i/>
          <w:lang w:val="vi-VN"/>
        </w:rPr>
      </w:pPr>
      <w:r>
        <w:rPr>
          <w:i/>
          <w:lang w:val="vi-VN"/>
        </w:rPr>
        <w:t xml:space="preserve">Căn cứ Luật Tổ chức chính quyền địa phương ngày 16/6/2025; </w:t>
      </w:r>
    </w:p>
    <w:p w14:paraId="73CCFC15">
      <w:pPr>
        <w:spacing w:before="120" w:line="276" w:lineRule="auto"/>
        <w:ind w:firstLine="720"/>
        <w:jc w:val="both"/>
        <w:rPr>
          <w:i/>
          <w:lang w:val="vi-VN"/>
        </w:rPr>
      </w:pPr>
      <w:r>
        <w:rPr>
          <w:i/>
          <w:lang w:val="vi-VN"/>
        </w:rPr>
        <w:t>Căn cứ Luật Ban hành văn bản quy phạm pháp luật ngày 19/02/2025;</w:t>
      </w:r>
    </w:p>
    <w:p w14:paraId="2434BA8A">
      <w:pPr>
        <w:spacing w:before="120" w:line="276" w:lineRule="auto"/>
        <w:ind w:firstLine="709"/>
        <w:jc w:val="both"/>
        <w:rPr>
          <w:i/>
        </w:rPr>
      </w:pPr>
      <w:r>
        <w:rPr>
          <w:bCs/>
          <w:i/>
        </w:rPr>
        <w:tab/>
      </w:r>
      <w:r>
        <w:rPr>
          <w:i/>
          <w:lang w:val="vi-VN"/>
        </w:rPr>
        <w:t xml:space="preserve">Căn cứ Luật Ngân sách nhà nước </w:t>
      </w:r>
      <w:r>
        <w:rPr>
          <w:i/>
        </w:rPr>
        <w:t>số 89/2025/QH15 đã được sửa đổi, bổ sung một số điều theo Luật số 145/2025/QH15;</w:t>
      </w:r>
    </w:p>
    <w:p w14:paraId="30B4B431">
      <w:pPr>
        <w:spacing w:before="120" w:line="276" w:lineRule="auto"/>
        <w:ind w:firstLine="709"/>
        <w:jc w:val="both"/>
        <w:rPr>
          <w:i/>
        </w:rPr>
      </w:pPr>
      <w:r>
        <w:rPr>
          <w:i/>
        </w:rPr>
        <w:t>Căn cứ các Nghị quyết của Uỷ ban Thường vụ Quốc hội: số 12/2026/UBTVQH16 ngày 29/7/2026 Quy định về nguyên tắc, tiêu chí và định mức phân bổ dự toán chi thường xuyên ngân sách nhà nước năm 2027; số 08/2026/NQ-UBTVQH16 ngày 08/7/2026 về nguyên tắc, tiêu chí phân chia thuế giá trị gia tăng cho từng địa phương giai đoạn 2027-2030;</w:t>
      </w:r>
    </w:p>
    <w:p w14:paraId="65639DFC">
      <w:pPr>
        <w:spacing w:before="120" w:line="276" w:lineRule="auto"/>
        <w:ind w:firstLine="720"/>
        <w:jc w:val="both"/>
        <w:rPr>
          <w:bCs/>
          <w:i/>
        </w:rPr>
      </w:pPr>
      <w:r>
        <w:rPr>
          <w:i/>
          <w:lang w:val="vi-VN"/>
        </w:rPr>
        <w:t xml:space="preserve">Căn cứ các Nghị định của Chính phủ: </w:t>
      </w:r>
      <w:r>
        <w:rPr>
          <w:bCs/>
          <w:i/>
          <w:lang w:val="vi-VN"/>
        </w:rPr>
        <w:t>số 78/2025/NĐ-CP ngày 01 tháng 4 năm 2025 quy định chi tiết một số điều và biện pháp thi hành Luật ban hành văn bản quy phạm pháp luật</w:t>
      </w:r>
      <w:r>
        <w:rPr>
          <w:bCs/>
          <w:i/>
        </w:rPr>
        <w:t>;số 73/2026/NĐ-CP ngày 10/3/2026 Quy định chi tiết và hướng dẫn thi hành một số Điều của Luật NSNN.</w:t>
      </w:r>
    </w:p>
    <w:p w14:paraId="6EB538C0">
      <w:pPr>
        <w:spacing w:before="120" w:line="276" w:lineRule="auto"/>
        <w:jc w:val="both"/>
        <w:rPr>
          <w:bCs/>
          <w:i/>
        </w:rPr>
      </w:pPr>
      <w:r>
        <w:rPr>
          <w:bCs/>
          <w:i/>
        </w:rPr>
        <w:tab/>
      </w:r>
      <w:r>
        <w:rPr>
          <w:bCs/>
          <w:i/>
        </w:rPr>
        <w:t xml:space="preserve">Căn cứ Quyết định số …./2026/QĐ-TTg ngày …. Năm 2026 của Thủ tướng Chính phủ về việc ban hành các nguyên tắc, tiêu chí và định mức phân bổ dự toán chi thường xuyên ngân sách nhà nước năm 2027; </w:t>
      </w:r>
    </w:p>
    <w:p w14:paraId="3063EAC0">
      <w:pPr>
        <w:spacing w:before="120" w:line="276" w:lineRule="auto"/>
        <w:jc w:val="both"/>
        <w:rPr>
          <w:bCs/>
          <w:i/>
        </w:rPr>
      </w:pPr>
      <w:r>
        <w:rPr>
          <w:bCs/>
          <w:i/>
        </w:rPr>
        <w:tab/>
      </w:r>
      <w:r>
        <w:rPr>
          <w:bCs/>
          <w:i/>
        </w:rPr>
        <w:t>Căn cứ Thông tư số 26/2026/TT-BTC ngày 25/3/2026 của Bộ Tài chính quy định chi tiết và hướng dẫn thi hành một số Điều của Nghị định số 73/2026/NĐ-CP ngày 10/3/2026 của Chính phủ quy định chi tiết và hướng dẫn thi hành một số Điều của Luật Ngân sách nhà nước.</w:t>
      </w:r>
    </w:p>
    <w:p w14:paraId="641A27B2">
      <w:pPr>
        <w:spacing w:before="120" w:line="276" w:lineRule="auto"/>
        <w:ind w:firstLine="720"/>
        <w:jc w:val="both"/>
        <w:rPr>
          <w:i/>
        </w:rPr>
      </w:pPr>
      <w:r>
        <w:rPr>
          <w:bCs/>
          <w:i/>
        </w:rPr>
        <w:t xml:space="preserve">Sau khi xem xét Tờ trình số      /TTr-UBND ngày    tháng 12 năm 2026 của Ủy ban nhân dân tỉnh về việc đề nghị phê chuẩn </w:t>
      </w:r>
      <w:r>
        <w:rPr>
          <w:i/>
          <w:spacing w:val="-4"/>
        </w:rPr>
        <w:t>Nghị quyết phân cấp nguồn thu, tỷ lệ phần trăm (%) phân chia các khoản thu, phân cấp nhiệm vụ chi giữa ngân sách cấp tỉnh và ngân sách cấp xã giai đoạn 2027-2030; nguyên tắc, tiêu chí và định mức phân bổ chi thường xuyên ngân sách địa phương năm 2027</w:t>
      </w:r>
      <w:r>
        <w:rPr>
          <w:bCs/>
          <w:i/>
        </w:rPr>
        <w:t>; Báo cáo thẩm tra của Ban kinh tế - ngân sách và ý kiến thảo luận của đại biểu Hội đồng nhân dân tỉnh tại kỳ họp</w:t>
      </w:r>
      <w:r>
        <w:rPr>
          <w:i/>
        </w:rPr>
        <w:t>.</w:t>
      </w:r>
    </w:p>
    <w:p w14:paraId="3B898684">
      <w:pPr>
        <w:spacing w:before="120" w:line="276" w:lineRule="auto"/>
        <w:jc w:val="center"/>
        <w:rPr>
          <w:b/>
          <w:bCs/>
          <w:sz w:val="24"/>
          <w:szCs w:val="24"/>
        </w:rPr>
      </w:pPr>
    </w:p>
    <w:p w14:paraId="22E1C52B">
      <w:pPr>
        <w:spacing w:line="276" w:lineRule="auto"/>
        <w:jc w:val="center"/>
        <w:rPr>
          <w:b/>
          <w:bCs/>
          <w:lang w:val="vi-VN"/>
        </w:rPr>
      </w:pPr>
      <w:r>
        <w:rPr>
          <w:b/>
          <w:bCs/>
        </w:rPr>
        <w:t>QUYẾT NGHỊ</w:t>
      </w:r>
      <w:r>
        <w:rPr>
          <w:b/>
          <w:bCs/>
          <w:lang w:val="vi-VN"/>
        </w:rPr>
        <w:t>:</w:t>
      </w:r>
    </w:p>
    <w:p w14:paraId="5FC68193">
      <w:pPr>
        <w:spacing w:line="276" w:lineRule="auto"/>
        <w:jc w:val="center"/>
        <w:rPr>
          <w:b/>
        </w:rPr>
      </w:pPr>
      <w:r>
        <w:rPr>
          <w:b/>
        </w:rPr>
        <w:t>Chương I</w:t>
      </w:r>
    </w:p>
    <w:p w14:paraId="3D9F9272">
      <w:pPr>
        <w:spacing w:line="276" w:lineRule="auto"/>
        <w:jc w:val="center"/>
        <w:rPr>
          <w:b/>
        </w:rPr>
      </w:pPr>
      <w:r>
        <w:rPr>
          <w:b/>
        </w:rPr>
        <w:t>QUY ĐỊNH CHUNG</w:t>
      </w:r>
    </w:p>
    <w:p w14:paraId="13876E8A">
      <w:pPr>
        <w:spacing w:before="120" w:line="276" w:lineRule="auto"/>
        <w:ind w:firstLine="720"/>
        <w:jc w:val="both"/>
        <w:rPr>
          <w:b/>
        </w:rPr>
      </w:pPr>
    </w:p>
    <w:p w14:paraId="18F4A4C5">
      <w:pPr>
        <w:spacing w:before="120" w:line="276" w:lineRule="auto"/>
        <w:ind w:firstLine="720"/>
        <w:jc w:val="both"/>
      </w:pPr>
      <w:r>
        <w:rPr>
          <w:rFonts w:hint="eastAsia"/>
          <w:b/>
        </w:rPr>
        <w:t>Đ</w:t>
      </w:r>
      <w:r>
        <w:rPr>
          <w:b/>
        </w:rPr>
        <w:t>iều 1</w:t>
      </w:r>
      <w:r>
        <w:t xml:space="preserve">. </w:t>
      </w:r>
      <w:r>
        <w:rPr>
          <w:b/>
        </w:rPr>
        <w:t>Phạm vi điều chỉnh, đối tượng áp dụng</w:t>
      </w:r>
    </w:p>
    <w:p w14:paraId="51208941">
      <w:pPr>
        <w:spacing w:before="120" w:line="276" w:lineRule="auto"/>
        <w:ind w:firstLine="720"/>
        <w:jc w:val="both"/>
        <w:rPr>
          <w:bCs/>
        </w:rPr>
      </w:pPr>
      <w:bookmarkStart w:id="0" w:name="OLE_LINK2"/>
      <w:r>
        <w:rPr>
          <w:bCs/>
        </w:rPr>
        <w:t>1. Phạm vi điều chỉnh</w:t>
      </w:r>
    </w:p>
    <w:p w14:paraId="65C3A3DD">
      <w:pPr>
        <w:spacing w:before="120" w:line="276" w:lineRule="auto"/>
        <w:ind w:firstLine="720"/>
        <w:jc w:val="both"/>
      </w:pPr>
      <w:r>
        <w:rPr>
          <w:bCs/>
        </w:rPr>
        <w:t xml:space="preserve">Nghị quyết này Quy định </w:t>
      </w:r>
      <w:r>
        <w:rPr>
          <w:spacing w:val="-4"/>
        </w:rPr>
        <w:t xml:space="preserve">Nghị quyết phân cấp nguồn thu, tỷ lệ phần trăm (%) phân chia các khoản thu, phân cấp nhiệm vụ chi giữa ngân sách cấp tỉnh và ngân sách cấp xã giai đoạn 2027-2030; nguyên tắc, tiêu chí và định mức phân bổ chi thường xuyên ngân sách địa phương năm 2027 theo </w:t>
      </w:r>
      <w:r>
        <w:t>quy định của Luật Ngân sách nhà nước, các nghị quyết của Quốc hội.</w:t>
      </w:r>
    </w:p>
    <w:p w14:paraId="03EF64E7">
      <w:pPr>
        <w:spacing w:before="120" w:line="276" w:lineRule="auto"/>
        <w:jc w:val="both"/>
      </w:pPr>
      <w:r>
        <w:rPr>
          <w:b/>
        </w:rPr>
        <w:t xml:space="preserve">         </w:t>
      </w:r>
      <w:r>
        <w:rPr>
          <w:b/>
        </w:rPr>
        <w:tab/>
      </w:r>
      <w:r>
        <w:t>2. Đối tượng áp dụng</w:t>
      </w:r>
    </w:p>
    <w:p w14:paraId="36E8A780">
      <w:pPr>
        <w:spacing w:before="120" w:line="276" w:lineRule="auto"/>
        <w:jc w:val="both"/>
      </w:pPr>
      <w:r>
        <w:tab/>
      </w:r>
      <w:r>
        <w:t>Các cơ quan quản lý nhà nước, tổ chức, cá nhân có liên quan đến thực hiện phân cấp nguồn thu, tỷ lệ phần trăm (%) phân chia các khoản thu, phân cấp nhiệm vụ chi ngân sách của các cấp chính quyền địa phương; các xã, phường thuộc tỉnh  Hà Tĩnh và các cơ quan, tổ chức, cá nhân có liên quan đến lập, phân bổ, chấp hành dự toán chi thường xuyên ngân sách nhà nước trên địa bàn tỉnh Hà Tĩnh.</w:t>
      </w:r>
    </w:p>
    <w:bookmarkEnd w:id="0"/>
    <w:p w14:paraId="34CC427E">
      <w:pPr>
        <w:spacing w:before="120" w:line="276" w:lineRule="auto"/>
        <w:jc w:val="center"/>
        <w:rPr>
          <w:b/>
        </w:rPr>
      </w:pPr>
    </w:p>
    <w:p w14:paraId="22FAD380">
      <w:pPr>
        <w:spacing w:line="276" w:lineRule="auto"/>
        <w:jc w:val="center"/>
        <w:rPr>
          <w:b/>
        </w:rPr>
      </w:pPr>
      <w:r>
        <w:rPr>
          <w:b/>
        </w:rPr>
        <w:t>Chương II</w:t>
      </w:r>
    </w:p>
    <w:p w14:paraId="7E60FB84">
      <w:pPr>
        <w:spacing w:line="276" w:lineRule="auto"/>
        <w:jc w:val="center"/>
        <w:rPr>
          <w:b/>
          <w:sz w:val="24"/>
          <w:szCs w:val="24"/>
        </w:rPr>
      </w:pPr>
      <w:r>
        <w:rPr>
          <w:b/>
          <w:sz w:val="24"/>
          <w:szCs w:val="24"/>
        </w:rPr>
        <w:t>NGUYÊN TẮC PHÂN CẤP NGUỒN THU, TỶ LỆ PHẦN TRĂM (%) PHÂN CHIA NGUỒN THU, PHÂN CẤP NHIỆM VỤ CHI CÁC CẤP NGÂN SÁCH GIAI ĐOẠN 2027-2030; NGUYÊN TẮC, TIÊU CHÍ VÀ ĐỊNH MỨC PHÂN BỔ CHI THƯỜNG XUYÊN NGÂN SÁCH ĐỊA PHƯƠNG NĂM 2027.</w:t>
      </w:r>
    </w:p>
    <w:p w14:paraId="3A0A4CFC">
      <w:pPr>
        <w:spacing w:before="120" w:line="276" w:lineRule="auto"/>
        <w:ind w:firstLine="720"/>
        <w:jc w:val="both"/>
        <w:rPr>
          <w:b/>
          <w:bCs/>
        </w:rPr>
      </w:pPr>
      <w:bookmarkStart w:id="1" w:name="dieu_2_1"/>
    </w:p>
    <w:p w14:paraId="1E16BE0F">
      <w:pPr>
        <w:spacing w:before="120" w:line="276" w:lineRule="auto"/>
        <w:ind w:firstLine="720"/>
        <w:jc w:val="both"/>
        <w:rPr>
          <w:b/>
          <w:bCs/>
        </w:rPr>
      </w:pPr>
      <w:r>
        <w:rPr>
          <w:b/>
          <w:bCs/>
        </w:rPr>
        <w:t xml:space="preserve">Điều 2. Nguyên tắc phân cấp nguồn thu, tỷ lệ phần trăm (%) phân chia nguồn thu và phân cấp nhiệm vụ chi </w:t>
      </w:r>
      <w:bookmarkEnd w:id="1"/>
      <w:r>
        <w:rPr>
          <w:b/>
          <w:bCs/>
        </w:rPr>
        <w:t>giữa ngân sách cấp tỉnh và ngân sách cấp xã</w:t>
      </w:r>
    </w:p>
    <w:p w14:paraId="637DC2A2">
      <w:pPr>
        <w:spacing w:before="120" w:line="276" w:lineRule="auto"/>
        <w:ind w:firstLine="720"/>
        <w:jc w:val="both"/>
        <w:rPr>
          <w:szCs w:val="24"/>
        </w:rPr>
      </w:pPr>
      <w:r>
        <w:rPr>
          <w:bCs/>
        </w:rPr>
        <w:t xml:space="preserve">1. Phù hợp với phân cấp quản lý kinh tế - xã hội, quốc phòng, an ninh và khả năng quản lý của mỗi cấp trên địa bàn; </w:t>
      </w:r>
      <w:r>
        <w:t>Ngân sách cấp xã được phân cấp nguồn thu bảo đảm chủ động thực hiện nhiệm vụ chi được giao; khuyến khích tăng cường quản lý thu, chống thất thu. Nhiệm vụ chi gắn liền với vai trò quản lý của cấp chính quyền nào thì phân cấp cho ngân sách cấp đó thực hiện.</w:t>
      </w:r>
    </w:p>
    <w:p w14:paraId="368F3BAA">
      <w:pPr>
        <w:spacing w:before="120" w:line="276" w:lineRule="auto"/>
        <w:ind w:firstLine="720"/>
        <w:jc w:val="both"/>
        <w:rPr>
          <w:bCs/>
        </w:rPr>
      </w:pPr>
      <w:r>
        <w:rPr>
          <w:bCs/>
        </w:rPr>
        <w:t>2. Thực hiện phân chia tỷ lệ phần trăm (%) đối với các khoản thu phân chia giữa cấp tỉnh và cấp xã và số bổ sung cân đối từ ngân sách cấp trên cho ngân sách cấp dưới trên cơ sở bảo đảm công bằng, phát triển cân đối giữa các vùng, các địa phương;</w:t>
      </w:r>
    </w:p>
    <w:p w14:paraId="018A4130">
      <w:pPr>
        <w:spacing w:before="120" w:line="276" w:lineRule="auto"/>
        <w:ind w:firstLine="720"/>
        <w:jc w:val="both"/>
      </w:pPr>
      <w:bookmarkStart w:id="2" w:name="khoan_2_2"/>
      <w:r>
        <w:t>3. Trong giai đoạn 2027 - 2030: tỷ lệ phần trăm (%) phân chia các khoản thu giữa ngân sách cấp tỉnh và ngân sách cấp xã được ổn định để bảo đảm vai trò chủ đạo của ngân sách tỉnh và tính chủ động cho ngân sách cấp xã. Trường hợp đặc biệt có phát sinh nguồn thu từ dự án mới đi vào hoạt động làm ngân sách địa phương có số tăng thu lớn thì số tăng thu phải nộp về ngân sách cấp trên, Ủy ban nhân dân tỉnh trình Hội đồng nhân dân tỉnh quyết định thu về ngân sách cấp trên số tăng thu này và thực hiện bổ sung có mục tiêu một phần cho ngân sách cấp dưới theo quy định Luật Ngân sách nhà nước.</w:t>
      </w:r>
      <w:bookmarkEnd w:id="2"/>
    </w:p>
    <w:p w14:paraId="1E734384">
      <w:pPr>
        <w:spacing w:before="120" w:line="276" w:lineRule="auto"/>
        <w:ind w:firstLine="720"/>
        <w:jc w:val="both"/>
      </w:pPr>
      <w:bookmarkStart w:id="3" w:name="dieu_3_1"/>
      <w:r>
        <w:rPr>
          <w:b/>
          <w:bCs/>
        </w:rPr>
        <w:t>Điều 3. Nguyên tắc, tiêu chí và định mức phân bổ dự toán chi thường xuyên ngân sách địa phương năm 202</w:t>
      </w:r>
      <w:bookmarkEnd w:id="3"/>
      <w:r>
        <w:rPr>
          <w:b/>
          <w:bCs/>
        </w:rPr>
        <w:t>7</w:t>
      </w:r>
    </w:p>
    <w:p w14:paraId="172CAE53">
      <w:pPr>
        <w:spacing w:before="120" w:line="276" w:lineRule="auto"/>
        <w:ind w:firstLine="720"/>
        <w:jc w:val="both"/>
      </w:pPr>
      <w:r>
        <w:t>1. Việc xây dựng định mức phân bổ chi thường xuyên ngân sách địa phương năm 2027 phải đảm bảo thực hiện đúng theo quy định của pháp luật; phù hợp với khả năng cân đối ngân sách địa phương; góp phần thực hiện thắng lợi mục tiêu, nhiệm vụ Nghị quyết Đại hội đại biểu Đảng bộ tỉnh lần thứ XX, nhiệm kỳ 2025 - 2030;</w:t>
      </w:r>
    </w:p>
    <w:p w14:paraId="00ADEBE3">
      <w:pPr>
        <w:spacing w:before="120" w:line="276" w:lineRule="auto"/>
        <w:ind w:firstLine="720"/>
        <w:jc w:val="both"/>
      </w:pPr>
      <w:r>
        <w:t>2. Nâng cao hiệu quả sử dụng ngân sách nhà nước, cơ cấu lại ngân sách nhà nước theo hướng giảm tỷ trọng chi thường xuyên gắn với sắp xếp bộ máy của hệ thống chính trị tinh gọn, hiệu lực, hiệu quả, đẩy mạnh phân cấp, phân quyền, phát huy tính chủ động, tự lực, tự cường của các cấp, đáp ứng yêu cầu thực hiện nhiệm vụ chính trị của từng cơ quan, đơn vị, địa phương;</w:t>
      </w:r>
    </w:p>
    <w:p w14:paraId="38F936C1">
      <w:pPr>
        <w:spacing w:before="120" w:line="276" w:lineRule="auto"/>
        <w:ind w:firstLine="720"/>
        <w:jc w:val="both"/>
      </w:pPr>
      <w:r>
        <w:t xml:space="preserve">3. Ưu tiên nguồn lực để thực hiện các Nghị quyết của Bộ Chính trị về đột phá phát triển khoa học, công nghệ, đổi mới sáng tạo và chuyển đổi số; đột phá phát triển giáo dục và đào tạo; đổi mới công tác xây dựng và thi hành pháp luật; tăng cường bảo vệ, chăm sóc và nâng cao sức khoẻ nhân dân; phát triển văn hoá Việt Nam; hội nhập quốc tế trong tình hình mới, đáp ứng yêu cầu phát triển đất nước trong tình hình mới; </w:t>
      </w:r>
    </w:p>
    <w:p w14:paraId="0178DB15">
      <w:pPr>
        <w:spacing w:before="120" w:line="276" w:lineRule="auto"/>
        <w:ind w:firstLine="720"/>
        <w:jc w:val="both"/>
      </w:pPr>
      <w:r>
        <w:t>4. Đưa tối đa các khoản chi thường xuyên vào định mức chi quản lý hành chính của các cơ quan, đơn vị, địa phương với yêu cầu triệt để tiết kiệm và chống lãng phí, giảm các khoản chi hội nghị, hội thảo, đi công tác trong và ngoài nước; thực hành tiết kiệm, chống lãng phí; cải cách hành chính nâng cao chất lượng dịch vụ công, sử dụng hiệu quả ngân sách nhà nước; góp phần đổi mới quản lý tài chính đối với khu vực sự nghiệp công để giảm mức hỗ trợ trực tiếp cho đơn vị sự nghiệp công lập, tăng nguồn đảm bảo chính sách hỗ trợ người nghèo, đối tượng chính sách tiếp cận các dịch vụ sự nghiệp công, khuyến khích xã hội hóa, huy động các nguồn lực xã hội để phát triển kinh tế - xã hội.</w:t>
      </w:r>
    </w:p>
    <w:p w14:paraId="4D52656E">
      <w:pPr>
        <w:spacing w:before="120" w:line="276" w:lineRule="auto"/>
        <w:ind w:firstLine="720"/>
        <w:jc w:val="both"/>
      </w:pPr>
      <w:r>
        <w:t>5. Tiêu chí phân bổ ngân sách rõ ràng, đơn giản, thuận lợi trong thực hiện và kiểm tra, giám sát; bảo đảm công bằng, công khai, minh bạch; tăng cường tính chủ động trong thực hiện chức năng, nhiệm vụ gắn với chính sách, chế độ chi ngân sách nhà nước. Trong đó, tiêu chí dân số là tiêu chí chính được chia thành 04 vùng: vùng đặc biệt khó khăn, vùng khó khăn, vùng đô thị và vùng khác còn lại; các tiêu chí bổ sung phù hợp với từng lĩnh vực quy định tại Điều….. Nghị quyết này;</w:t>
      </w:r>
    </w:p>
    <w:p w14:paraId="441662C4">
      <w:pPr>
        <w:spacing w:before="120" w:line="276" w:lineRule="auto"/>
        <w:ind w:firstLine="720"/>
        <w:jc w:val="both"/>
      </w:pPr>
      <w:r>
        <w:t>6. Định mức phân bổ được xây dựng cho các lĩnh vực chi theo quy định của Luật Ngân sách nhà nước, bảo đảm kinh phí chi tiền lương, tiền thưởng, phụ cấp và các khoản đóng góp theo chế độ theo mức lương cơ sở 2.530.000 đồng/tháng; kinh phí hoạt động của các cơ quan hành chính nhà nước, đơn vị sự nghiệp công lập và kinh phí thực hiện các chính sách, chế độ được ban hành đến thời điểm HĐND tỉnh ban hành Nghị quyết này (chưa bao gồm kinh phí phát sinh tăng thêm để thực hiện theo tiêu chí chuẩn nghèo đa chiều giai đoạn 2026-2030; kinh phí thực hiện các chính sách miễn, giảm, hỗ trợ học phí, hỗ trợ chi phí học tập và giá dịch vụ trong lĩnh vực giáo dục, đào tạo; hỗ trợ bữa ăn trưa cho học sinh tiểu học và trung học cơ sở các xã biên giới đất liền; phổ cập giáo dục mầm non cho trẻ em từ 3 đến 5 tuổi; hỗ trợ đóng bảo hiểm xã hội tự nguyện; hỗ trợ học sinh trường phổ thông nội trú và trường phổ thông dân tộc nội trú tại các xã biên giới đất liền);</w:t>
      </w:r>
    </w:p>
    <w:p w14:paraId="785335DE">
      <w:pPr>
        <w:spacing w:before="120" w:line="276" w:lineRule="auto"/>
        <w:ind w:firstLine="720"/>
        <w:jc w:val="both"/>
      </w:pPr>
      <w:r>
        <w:t>7. Trường hợp dự toán chi thường xuyên (không bao gồm lĩnh vực khoa học, công nghệ, đổi mới sáng tạo và chuyển đổi số) của từng địa phương theo định mức quy định tại khoản 9 Điều này thấp hơn dự toán năm 2026 (đã tính đủ kinh phí chi ngân sách nhà nước thực hiện các chế độ, chính sách theo quy định) được ngân sách tỉnh hỗ trợ để đảm bảo không thấp hơn dự toán 2026;</w:t>
      </w:r>
    </w:p>
    <w:p w14:paraId="2C848E8C">
      <w:pPr>
        <w:spacing w:before="120" w:line="276" w:lineRule="auto"/>
        <w:ind w:firstLine="720"/>
        <w:jc w:val="both"/>
      </w:pPr>
      <w:r>
        <w:t>8. Định mức phân bổ chi thường xuyên ngân sách địa phương quy định tại Nghị quyết này sử dụng để xác định tổng dự toán chi thường xuyên năm 2027, trong đó chi tiết sự nghiệp giáo dục, đào tạo và dạy nghề, sự nghiệp khoa học, công nghệ, đổi mới sáng tạo và chuyển đổi số; đối với các năm tiếp theo, trên cơ sở định mức chi thường xuyên ngân sách nhà nước do Ủy ban Thường vụ Quốc hội quyết định và khả năng cân đối ngân sách địa phương, HĐND tỉnh quyết định bổ sung tăng thêm cho các đơn vị, địa phương so với năm 2027 (nếu có).</w:t>
      </w:r>
    </w:p>
    <w:p w14:paraId="4CE4E14E">
      <w:pPr>
        <w:spacing w:before="120" w:line="276" w:lineRule="auto"/>
        <w:jc w:val="center"/>
        <w:rPr>
          <w:strike/>
        </w:rPr>
      </w:pPr>
    </w:p>
    <w:p w14:paraId="203AC052">
      <w:pPr>
        <w:spacing w:before="120" w:line="276" w:lineRule="auto"/>
        <w:jc w:val="center"/>
      </w:pPr>
      <w:bookmarkStart w:id="4" w:name="chuong_2"/>
      <w:r>
        <w:rPr>
          <w:b/>
          <w:bCs/>
        </w:rPr>
        <w:t>Chương 2</w:t>
      </w:r>
      <w:bookmarkEnd w:id="4"/>
    </w:p>
    <w:p w14:paraId="1AAFFAD8">
      <w:pPr>
        <w:spacing w:before="120" w:line="276" w:lineRule="auto"/>
        <w:jc w:val="center"/>
      </w:pPr>
      <w:bookmarkStart w:id="5" w:name="chuong_2_name"/>
      <w:r>
        <w:rPr>
          <w:b/>
          <w:bCs/>
          <w:sz w:val="24"/>
        </w:rPr>
        <w:t>QUY ĐỊNH VỀ PHÂN CẤP NGUỒN THU, NHIỆM VỤ CHI VÀ TỶ LỆ PHẦN TRĂM (%) PHÂN CHIA CÁC KHOẢN THU GIỮA NGÂN SÁCH CẤP TỈNH VÀ NGÂN SÁCH CẤP XÃ GIAI ĐOẠN 2027 - 20</w:t>
      </w:r>
      <w:bookmarkEnd w:id="5"/>
      <w:r>
        <w:rPr>
          <w:b/>
          <w:bCs/>
          <w:sz w:val="24"/>
        </w:rPr>
        <w:t>30</w:t>
      </w:r>
    </w:p>
    <w:p w14:paraId="1D92565C">
      <w:pPr>
        <w:spacing w:before="120" w:line="276" w:lineRule="auto"/>
        <w:jc w:val="both"/>
        <w:rPr>
          <w:bCs/>
          <w:i/>
        </w:rPr>
      </w:pPr>
      <w:bookmarkStart w:id="6" w:name="muc_1_2"/>
      <w:r>
        <w:rPr>
          <w:b/>
          <w:bCs/>
        </w:rPr>
        <w:t xml:space="preserve">Mục 1. Phân cấp nguồn thu giữa ngân sách </w:t>
      </w:r>
      <w:bookmarkEnd w:id="6"/>
      <w:r>
        <w:rPr>
          <w:b/>
          <w:bCs/>
        </w:rPr>
        <w:t xml:space="preserve">cấp tỉnh và ngân sách cấp xã </w:t>
      </w:r>
      <w:r>
        <w:rPr>
          <w:bCs/>
          <w:i/>
        </w:rPr>
        <w:t>(phần ngân sách địa phương được hưởng theo quy định của Luật Ngân sách nhà nước và các quy định khác có liên quan)</w:t>
      </w:r>
    </w:p>
    <w:p w14:paraId="5645646D">
      <w:pPr>
        <w:spacing w:before="120" w:line="276" w:lineRule="auto"/>
        <w:ind w:firstLine="720"/>
        <w:jc w:val="both"/>
      </w:pPr>
      <w:bookmarkStart w:id="7" w:name="dieu_4"/>
      <w:r>
        <w:rPr>
          <w:b/>
          <w:bCs/>
        </w:rPr>
        <w:t>Điều 4. Các khoản thu ngân sách cấp tỉnh hưởng 100%</w:t>
      </w:r>
      <w:bookmarkEnd w:id="7"/>
    </w:p>
    <w:p w14:paraId="153DC8B1">
      <w:pPr>
        <w:spacing w:before="120" w:line="276" w:lineRule="auto"/>
        <w:ind w:firstLine="720"/>
        <w:jc w:val="both"/>
      </w:pPr>
      <w:r>
        <w:t>1. Thu từ hoạt động xổ số.</w:t>
      </w:r>
    </w:p>
    <w:p w14:paraId="254BE751">
      <w:pPr>
        <w:spacing w:before="120" w:line="276" w:lineRule="auto"/>
        <w:ind w:firstLine="720"/>
        <w:jc w:val="both"/>
      </w:pPr>
      <w:r>
        <w:t>2. Tiền cho thuê và tiền bán nhà ở thuộc sở hữu nhà nước.</w:t>
      </w:r>
    </w:p>
    <w:p w14:paraId="1F1A2DDF">
      <w:pPr>
        <w:spacing w:before="120" w:line="276" w:lineRule="auto"/>
        <w:ind w:firstLine="720"/>
        <w:jc w:val="both"/>
      </w:pPr>
      <w:r>
        <w:t xml:space="preserve">3. Tiền cho thuê đất, thuê mặt nước </w:t>
      </w:r>
      <w:r>
        <w:rPr>
          <w:b/>
          <w:bCs/>
          <w:u w:val="single"/>
        </w:rPr>
        <w:t>trả tiền một lần</w:t>
      </w:r>
      <w:r>
        <w:t xml:space="preserve"> cho cả thời gian thuê.</w:t>
      </w:r>
    </w:p>
    <w:p w14:paraId="4BA0FB68">
      <w:pPr>
        <w:spacing w:before="120" w:line="276" w:lineRule="auto"/>
        <w:ind w:firstLine="720"/>
        <w:jc w:val="both"/>
      </w:pPr>
      <w:r>
        <w:t>4. Thu tiền cấp quyền khai thác khoáng sản, tài nguyên nước, tiền sử dụng khu vực biển do cơ quan có thẩm quyền của trung ương cấp phép.</w:t>
      </w:r>
    </w:p>
    <w:p w14:paraId="023863F9">
      <w:pPr>
        <w:spacing w:before="120" w:line="276" w:lineRule="auto"/>
        <w:ind w:firstLine="720"/>
        <w:jc w:val="both"/>
        <w:rPr>
          <w:szCs w:val="24"/>
        </w:rPr>
      </w:pPr>
      <w:r>
        <w:t>5. Các khoản thu hồi vốn của ngân sách địa phương đầu tư tại các tổ chức kinh tế; cổ tức được chia bằng tiền, lợi nhuận được chia tại công ty cổ phần, công ty trách nhiệm hữu hạn hai thành viên trở lên có vốn góp của Nhà nước do Ủy ban nhân dân cấp tỉnh là cơ quan đại diện chủ sở hữu; thu phần lợi nhuận sau thuế còn lại nộp ngân sách nhà nước tại các doanh nghiệp Nhà nước nắm giữ 100% vốn điều lệ do Ủy ban nhân dân cấp tỉnh là cơ quan đại diện chủ sở hữu theo quy định của pháp luật về quản lý và đầu tư vốn nhà nước tại doanh nghiệp;</w:t>
      </w:r>
    </w:p>
    <w:p w14:paraId="38993D9D">
      <w:pPr>
        <w:spacing w:before="120" w:line="276" w:lineRule="auto"/>
        <w:ind w:firstLine="720"/>
        <w:jc w:val="both"/>
      </w:pPr>
      <w:r>
        <w:t>6. Thu từ Quỹ dự trữ tài chính địa phương.</w:t>
      </w:r>
    </w:p>
    <w:p w14:paraId="45667E49">
      <w:pPr>
        <w:spacing w:before="120" w:line="276" w:lineRule="auto"/>
        <w:ind w:firstLine="720"/>
        <w:jc w:val="both"/>
      </w:pPr>
      <w:r>
        <w:t>7. Thu nộp ngân sách nhà nước từ khai thác, xử lý tài sản công do cơ quan, tổ chức, đơn vị thuộc cấp tỉnh quản lý, xử lý theo quy định của pháp luật về quản lý, sử dụng tài sản công (không bao gồm tiền sử dụng đất, tiền thuê đất gắn với tài sản trên đất);</w:t>
      </w:r>
    </w:p>
    <w:p w14:paraId="5FE87C18">
      <w:pPr>
        <w:spacing w:before="120" w:line="276" w:lineRule="auto"/>
        <w:ind w:firstLine="720"/>
        <w:jc w:val="both"/>
      </w:pPr>
      <w:r>
        <w:t>8. Viện trợ không hoàn lại của các tổ chức quốc tế, tổ chức khác, cá nhân nước ngoài trực tiếp cho chính quyền địa phương cấp tỉnh</w:t>
      </w:r>
    </w:p>
    <w:p w14:paraId="1B74C475">
      <w:pPr>
        <w:spacing w:before="120" w:line="276" w:lineRule="auto"/>
        <w:ind w:firstLine="720"/>
        <w:jc w:val="both"/>
        <w:rPr>
          <w:strike/>
        </w:rPr>
      </w:pPr>
      <w:r>
        <w:t>9. Phí thu từ các hoạt động dịch vụ do các cơ quan nhà nước thuộc cấp tỉnh thực hiện; các khoản phí thu từ các hoạt động dịch vụ công do đơn vị sự nghiệp công lập và tổ chức do cấp tỉnh quản lý được cơ quan có thẩm quyền giao cung cấp dịch vụ công nộp ngân sách nhà nước theo quy định của pháp luật.</w:t>
      </w:r>
    </w:p>
    <w:p w14:paraId="057AD33B">
      <w:pPr>
        <w:spacing w:before="120" w:line="276" w:lineRule="auto"/>
        <w:ind w:firstLine="720"/>
        <w:jc w:val="both"/>
      </w:pPr>
      <w:r>
        <w:t>10. Lệ phí do các cơ quan nhà nước thuộc cấp tỉnh thực hiện thu.</w:t>
      </w:r>
    </w:p>
    <w:p w14:paraId="18033EC1">
      <w:pPr>
        <w:spacing w:before="120" w:line="276" w:lineRule="auto"/>
        <w:ind w:firstLine="720"/>
        <w:jc w:val="both"/>
      </w:pPr>
      <w:r>
        <w:t>11. Tiền thu từ xử phạt vi phạm hành chính, phạt khác theo quy định của pháp luật do các cơ quan nhà nước cấp tỉnh thực hiện xử phạt;</w:t>
      </w:r>
    </w:p>
    <w:p w14:paraId="78D6558F">
      <w:pPr>
        <w:spacing w:before="120" w:line="276" w:lineRule="auto"/>
        <w:ind w:firstLine="720"/>
        <w:jc w:val="both"/>
        <w:rPr>
          <w:szCs w:val="24"/>
        </w:rPr>
      </w:pPr>
      <w:r>
        <w:t>12. Các khoản huy động tài trợ, đóng góp tự nguyện bằng tiền từ các cơ quan, tổ chức, cá nhân theo quy định của pháp luật cho các cơ quan do cấp tỉnh quản lý;</w:t>
      </w:r>
    </w:p>
    <w:p w14:paraId="7226F24D">
      <w:pPr>
        <w:spacing w:before="120" w:line="276" w:lineRule="auto"/>
        <w:ind w:firstLine="720"/>
        <w:jc w:val="both"/>
      </w:pPr>
      <w:r>
        <w:t>13. Thu kết dư ngân sách cấp tỉnh;</w:t>
      </w:r>
    </w:p>
    <w:p w14:paraId="6CDD983D">
      <w:pPr>
        <w:spacing w:before="120" w:line="276" w:lineRule="auto"/>
        <w:ind w:firstLine="720"/>
        <w:jc w:val="both"/>
      </w:pPr>
      <w:r>
        <w:t>14. Thu chuyển nguồn của ngân sách cấp tỉnh từ năm trước chuyển sang;</w:t>
      </w:r>
    </w:p>
    <w:p w14:paraId="5337BF5C">
      <w:pPr>
        <w:spacing w:before="120" w:line="276" w:lineRule="auto"/>
        <w:ind w:firstLine="720"/>
        <w:jc w:val="both"/>
      </w:pPr>
      <w:r>
        <w:t>15. Thu tiền bảo vệ và phát triển đất trồng lúa.</w:t>
      </w:r>
    </w:p>
    <w:p w14:paraId="5F9791A9">
      <w:pPr>
        <w:spacing w:before="120" w:line="276" w:lineRule="auto"/>
        <w:ind w:firstLine="720"/>
        <w:jc w:val="both"/>
      </w:pPr>
      <w:r>
        <w:t>16. Giá trị bồi thường, hỗ trợ, tái định cư (m2), Giá trị nộp ngân sách nhà nước bằng tiền (m3) phải nộp ngân sách nhà nước khi đấu thầu lựa chọn nhà đầu tư.</w:t>
      </w:r>
    </w:p>
    <w:p w14:paraId="34A747BC">
      <w:pPr>
        <w:spacing w:before="120" w:line="276" w:lineRule="auto"/>
        <w:ind w:firstLine="720"/>
        <w:jc w:val="both"/>
      </w:pPr>
      <w:r>
        <w:t>17. Thu tiền sử dụng đất, thuê đất theo hình thức ghi thu, ghi chi phát sinh trên địa bàn 02 xã, phường trở lên.</w:t>
      </w:r>
    </w:p>
    <w:p w14:paraId="4744BA38">
      <w:pPr>
        <w:spacing w:before="120" w:line="276" w:lineRule="auto"/>
        <w:ind w:firstLine="720"/>
        <w:jc w:val="both"/>
      </w:pPr>
      <w:r>
        <w:t>18. Thu từ khai thác quỹ đất khu vực phát triển đô thị theo định hướng giao thông công cộng (TOD) phần ngân sách địa phương được hưởng.</w:t>
      </w:r>
    </w:p>
    <w:p w14:paraId="4423E2E9">
      <w:pPr>
        <w:spacing w:before="120" w:line="276" w:lineRule="auto"/>
        <w:ind w:firstLine="720"/>
        <w:jc w:val="both"/>
        <w:rPr>
          <w:szCs w:val="24"/>
        </w:rPr>
      </w:pPr>
      <w:r>
        <w:t>19. Các khoản thu khác theo quy định của pháp luật (bao gồm cả thu tiền bồi thường cho nhà nước khi gây thiệt hại trong quản lý và sử dụng đất đai do cơ quan cấp tỉnh quản lý; thu ngân sách cấp xã nộp lên, thu địa phương khác hỗ trợ ngân sách cấp tỉnh).</w:t>
      </w:r>
    </w:p>
    <w:p w14:paraId="76332AFB">
      <w:pPr>
        <w:spacing w:before="120" w:line="276" w:lineRule="auto"/>
        <w:ind w:firstLine="720"/>
        <w:jc w:val="both"/>
      </w:pPr>
      <w:r>
        <w:t>20. Thu bổ sung cân đối ngân sách, bổ sung có mục tiêu từ ngân sách Trung ương.</w:t>
      </w:r>
    </w:p>
    <w:p w14:paraId="20F0680B">
      <w:pPr>
        <w:spacing w:before="120" w:line="276" w:lineRule="auto"/>
        <w:ind w:firstLine="720"/>
        <w:jc w:val="both"/>
      </w:pPr>
      <w:bookmarkStart w:id="8" w:name="dieu_6"/>
      <w:r>
        <w:rPr>
          <w:b/>
          <w:bCs/>
        </w:rPr>
        <w:t>Điều 5. Các khoản thu cấp xã hưởng 100%</w:t>
      </w:r>
      <w:bookmarkEnd w:id="8"/>
    </w:p>
    <w:p w14:paraId="289B0F11">
      <w:pPr>
        <w:spacing w:before="120" w:line="276" w:lineRule="auto"/>
        <w:ind w:firstLine="720"/>
        <w:jc w:val="both"/>
      </w:pPr>
      <w:r>
        <w:t>1. Thuế sử dụng đất nông nghiệp.</w:t>
      </w:r>
    </w:p>
    <w:p w14:paraId="797F8139">
      <w:pPr>
        <w:spacing w:before="120" w:line="276" w:lineRule="auto"/>
        <w:ind w:firstLine="720"/>
        <w:jc w:val="both"/>
      </w:pPr>
      <w:r>
        <w:t>2. Thuế sử dụng đất phi nông nghiệp.</w:t>
      </w:r>
    </w:p>
    <w:p w14:paraId="4C4EEFA6">
      <w:pPr>
        <w:spacing w:before="120" w:line="276" w:lineRule="auto"/>
        <w:ind w:firstLine="720"/>
        <w:jc w:val="both"/>
      </w:pPr>
      <w:r>
        <w:t>3. Thu nộp ngân sách nhà nước từ khai thác, xử lý tài sản công do cơ quan, tổ chức, đơn vị thuộc cấp xã quản lý, xử lý theo quy định của pháp luật về quản lý, sử dụng tài sản công (không bao gồm tiền sử dụng đất, tiền thuê đất gắn với tài sản trên đất);</w:t>
      </w:r>
    </w:p>
    <w:p w14:paraId="782F61FC">
      <w:pPr>
        <w:spacing w:before="120" w:line="276" w:lineRule="auto"/>
        <w:ind w:firstLine="720"/>
        <w:jc w:val="both"/>
        <w:rPr>
          <w:szCs w:val="24"/>
        </w:rPr>
      </w:pPr>
      <w:r>
        <w:t>4. Viện trợ không hoàn lại của các tổ chức quốc tế, tổ chức khác, cá nhân nước ngoài trực tiếp cho chính quyền địa phương cấp xã;</w:t>
      </w:r>
    </w:p>
    <w:p w14:paraId="649BA570">
      <w:pPr>
        <w:spacing w:before="120" w:line="276" w:lineRule="auto"/>
        <w:ind w:firstLine="720"/>
        <w:jc w:val="both"/>
        <w:rPr>
          <w:szCs w:val="24"/>
        </w:rPr>
      </w:pPr>
      <w:r>
        <w:t>5. Phí thu từ các hoạt động dịch vụ do các cơ quan nhà nước thuộc cấp xã thực hiện. Các khoản phí thu từ các hoạt động dịch vụ công do đơn vị sự nghiệp công lập và tổ chức do cấp xã quản lý được cơ quan có thẩm quyền giao cung cấp dịch vụ công nộp ngân sách nhà nước theo quy định của pháp luật;</w:t>
      </w:r>
    </w:p>
    <w:p w14:paraId="70BC6163">
      <w:pPr>
        <w:spacing w:before="120" w:line="276" w:lineRule="auto"/>
        <w:ind w:firstLine="720"/>
        <w:jc w:val="both"/>
      </w:pPr>
      <w:r>
        <w:t>6. Lệ phí do các cơ quan nhà nước thuộc cấp xã thực hiện thu.</w:t>
      </w:r>
    </w:p>
    <w:p w14:paraId="0AF3C71B">
      <w:pPr>
        <w:spacing w:before="120" w:line="276" w:lineRule="auto"/>
        <w:ind w:firstLine="720"/>
        <w:jc w:val="both"/>
        <w:rPr>
          <w:szCs w:val="24"/>
        </w:rPr>
      </w:pPr>
      <w:r>
        <w:t>7. Tiền thu từ xử phạt vi phạm hành chính, phạt khác theo quy định của pháp luật do các cơ quan nhà nước thuộc cấp xã thực hiện xử phạt;</w:t>
      </w:r>
    </w:p>
    <w:p w14:paraId="7BDD5A33">
      <w:pPr>
        <w:spacing w:before="120" w:line="276" w:lineRule="auto"/>
        <w:ind w:firstLine="720"/>
        <w:jc w:val="both"/>
      </w:pPr>
      <w:r>
        <w:t>8. Thu từ sử dụng quỹ đất công ích và thu hoa lợi công sản khác.</w:t>
      </w:r>
    </w:p>
    <w:p w14:paraId="1A3C746A">
      <w:pPr>
        <w:spacing w:before="120" w:line="276" w:lineRule="auto"/>
        <w:ind w:firstLine="720"/>
        <w:jc w:val="both"/>
      </w:pPr>
      <w:r>
        <w:t>9. Các khoản huy động tài trợ, đóng góp tự nguyện bằng tiền từ các cơ quan, tổ chức, cá nhân theo quy định của pháp luật cho các cơ quan do cấp xã quản lý;</w:t>
      </w:r>
    </w:p>
    <w:p w14:paraId="22630D6A">
      <w:pPr>
        <w:spacing w:before="120" w:line="276" w:lineRule="auto"/>
        <w:ind w:firstLine="720"/>
        <w:jc w:val="both"/>
      </w:pPr>
      <w:r>
        <w:t>10. Thu tiền sử dụng đất, thuê đất theo hình thức ghi thu, ghi chi phát sinh trên địa bàn xã, phường, không bao gồm các khoản thu theo quy định tại Khoản 17 Điều 4;</w:t>
      </w:r>
    </w:p>
    <w:p w14:paraId="57AF9E7C">
      <w:pPr>
        <w:spacing w:before="120" w:line="276" w:lineRule="auto"/>
        <w:ind w:firstLine="720"/>
        <w:jc w:val="both"/>
        <w:rPr>
          <w:szCs w:val="24"/>
        </w:rPr>
      </w:pPr>
      <w:r>
        <w:t>11. Thu kết dư ngân sách cấp xã;</w:t>
      </w:r>
    </w:p>
    <w:p w14:paraId="6C2F57D8">
      <w:pPr>
        <w:spacing w:before="120" w:line="276" w:lineRule="auto"/>
        <w:ind w:firstLine="720"/>
        <w:jc w:val="both"/>
        <w:rPr>
          <w:szCs w:val="24"/>
        </w:rPr>
      </w:pPr>
      <w:r>
        <w:t>12. Thu chuyển nguồn của ngân sách cấp xã từ năm trước chuyển sang;</w:t>
      </w:r>
    </w:p>
    <w:p w14:paraId="0FFE2406">
      <w:pPr>
        <w:spacing w:before="120" w:line="276" w:lineRule="auto"/>
        <w:ind w:firstLine="720"/>
        <w:jc w:val="both"/>
      </w:pPr>
      <w:r>
        <w:t>13. Các khoản thu khác theo quy định của pháp luật (bao gồm cả thu tiền bồi thường cho nhà nước khi gây thiệt hại trong quản lý và sử dụng đất đai do cơ quan cấp xã quản lý; thu địa phương khác hỗ trợ ngân sách cấp xã);;</w:t>
      </w:r>
    </w:p>
    <w:p w14:paraId="3A31B656">
      <w:pPr>
        <w:spacing w:before="120" w:line="276" w:lineRule="auto"/>
        <w:ind w:firstLine="720"/>
        <w:jc w:val="both"/>
      </w:pPr>
      <w:r>
        <w:t>14. Thu bổ sung cân đối ngân sách, bổ sung có mục tiêu từ ngân sách cấp tỉnh.</w:t>
      </w:r>
    </w:p>
    <w:p w14:paraId="1C26B555">
      <w:pPr>
        <w:spacing w:before="120" w:line="276" w:lineRule="auto"/>
        <w:ind w:firstLine="720"/>
        <w:jc w:val="both"/>
      </w:pPr>
      <w:bookmarkStart w:id="9" w:name="dieu_7"/>
      <w:r>
        <w:rPr>
          <w:b/>
          <w:bCs/>
        </w:rPr>
        <w:t>Điều 6. Các khoản thu phân chia và tỷ lệ phần trăm (%) phân chia giữa ngân sách cấp tỉnh và ngân sách cấp xã</w:t>
      </w:r>
      <w:bookmarkEnd w:id="9"/>
      <w:r>
        <w:rPr>
          <w:b/>
          <w:bCs/>
        </w:rPr>
        <w:t>, bao gồm:</w:t>
      </w:r>
    </w:p>
    <w:p w14:paraId="37A2286F">
      <w:pPr>
        <w:spacing w:before="120" w:line="276" w:lineRule="auto"/>
        <w:ind w:firstLine="720"/>
        <w:jc w:val="both"/>
      </w:pPr>
      <w:bookmarkStart w:id="10" w:name="OLE_LINK1"/>
      <w:r>
        <w:t>Các khoản thu còn lại (sau khi trừ các khoản ngân sách cấp tỉnh, cấp xã hưởng 100% tại Điều 4, 5 Nghị quyết này) thực hiện phân chia giữa ngân sách cấp tỉnh và ngân sách cấp xã như sau:</w:t>
      </w:r>
    </w:p>
    <w:p w14:paraId="311266B7">
      <w:pPr>
        <w:spacing w:before="120" w:line="276" w:lineRule="auto"/>
        <w:ind w:firstLine="720"/>
        <w:jc w:val="both"/>
      </w:pPr>
      <w:r>
        <w:t>1. Đối với thu tiền sử dụng đất:</w:t>
      </w:r>
    </w:p>
    <w:p w14:paraId="5E804CA8">
      <w:pPr>
        <w:spacing w:before="120" w:line="276" w:lineRule="auto"/>
        <w:ind w:firstLine="720"/>
        <w:jc w:val="both"/>
      </w:pPr>
      <w:r>
        <w:t>- Đối với số thu phát sinh (trên địa bàn xã, phường) dưới 10 tỷ đồng: Ngân sách cấp xã hưởng 100% (phần ngân sách địa phương được hưởng);</w:t>
      </w:r>
    </w:p>
    <w:p w14:paraId="5CC72BF6">
      <w:pPr>
        <w:spacing w:before="120" w:line="276" w:lineRule="auto"/>
        <w:ind w:firstLine="720"/>
        <w:jc w:val="both"/>
      </w:pPr>
      <w:r>
        <w:t>- Đối với số thu phát sinh (trên địa bàn các xã, phường) từ 10 tỷ đồng đến dưới 50 tỷ đồng: Ngân sách cấp xã hưởng 50%, Ngân sách cấp tỉnh hưởng 50% (phần ngân sách địa phương được hưởng);</w:t>
      </w:r>
    </w:p>
    <w:p w14:paraId="04A38F29">
      <w:pPr>
        <w:spacing w:before="120" w:line="276" w:lineRule="auto"/>
        <w:ind w:firstLine="720"/>
        <w:jc w:val="both"/>
      </w:pPr>
      <w:r>
        <w:t>- Đối với số thu phát sinh (trên địa bàn xã, phường) từ 50 tỷ đồng đến dưới 80 tỷ đồng: Ngân sách cấp xã hưởng 30%, Ngân sách cấp tỉnh hưởng 70% (phần ngân sách địa phương được hưởng);</w:t>
      </w:r>
    </w:p>
    <w:p w14:paraId="2F6BB75D">
      <w:pPr>
        <w:spacing w:before="120" w:line="276" w:lineRule="auto"/>
        <w:ind w:firstLine="720"/>
        <w:jc w:val="both"/>
      </w:pPr>
      <w:r>
        <w:t>- Đối với số thu phát sinh (trên địa bàn xã, phường) từ 80 tỷ đồng trở lên: Ngân sách cấp xã hưởng 20%, Ngân sách cấp tỉnh hưởng 80% (phần ngân sách địa phương được hưởng).</w:t>
      </w:r>
    </w:p>
    <w:p w14:paraId="54BC3F7C">
      <w:pPr>
        <w:spacing w:before="120" w:line="276" w:lineRule="auto"/>
        <w:ind w:firstLine="720"/>
        <w:jc w:val="both"/>
      </w:pPr>
      <w:r>
        <w:t>2. Đối với các khoản thu còn lại:</w:t>
      </w:r>
    </w:p>
    <w:p w14:paraId="74F30C48">
      <w:pPr>
        <w:spacing w:before="120" w:line="276" w:lineRule="auto"/>
        <w:ind w:firstLine="720"/>
        <w:jc w:val="both"/>
      </w:pPr>
      <w:r>
        <w:t>a) Đối với số giao cấp tỉnh thu và các khoản phí, lệ phí thuộc thẩm quyền Trung ương nhưng giao tỉnh thu: Ngân sách cấp tỉnh hưởng 100% (phần ngân sách địa phương được hưởng).</w:t>
      </w:r>
    </w:p>
    <w:p w14:paraId="18770673">
      <w:pPr>
        <w:spacing w:before="120" w:line="276" w:lineRule="auto"/>
        <w:ind w:firstLine="720"/>
        <w:jc w:val="both"/>
      </w:pPr>
      <w:r>
        <w:t>b) Đối với số giao cấp xã thu: Ngân sách cấp tỉnh hưởng 50%, ngân sách cấp xã hưởng 50% (phần ngân sách địa phương được hưởng).</w:t>
      </w:r>
    </w:p>
    <w:bookmarkEnd w:id="10"/>
    <w:p w14:paraId="1B252C8D">
      <w:pPr>
        <w:spacing w:before="120" w:line="276" w:lineRule="auto"/>
        <w:ind w:firstLine="720"/>
        <w:jc w:val="both"/>
      </w:pPr>
      <w:bookmarkStart w:id="11" w:name="muc_2_2"/>
      <w:r>
        <w:rPr>
          <w:b/>
          <w:bCs/>
        </w:rPr>
        <w:t>Mục 2. Nhiệm vụ chi ngân sách của các cấp ngân sách địa phương</w:t>
      </w:r>
      <w:bookmarkEnd w:id="11"/>
    </w:p>
    <w:p w14:paraId="1130C579">
      <w:pPr>
        <w:spacing w:before="120" w:line="276" w:lineRule="auto"/>
        <w:ind w:firstLine="720"/>
        <w:jc w:val="both"/>
      </w:pPr>
      <w:bookmarkStart w:id="12" w:name="dieu_8"/>
      <w:r>
        <w:rPr>
          <w:b/>
          <w:bCs/>
        </w:rPr>
        <w:t>Điều 7. Nhiệm vụ chi của ngân sách cấp tỉnh</w:t>
      </w:r>
      <w:bookmarkEnd w:id="12"/>
    </w:p>
    <w:p w14:paraId="3F6078D6">
      <w:pPr>
        <w:spacing w:before="120" w:line="276" w:lineRule="auto"/>
        <w:ind w:firstLine="720"/>
        <w:jc w:val="both"/>
      </w:pPr>
      <w:r>
        <w:t>1. Chi đầu tư phát triển:</w:t>
      </w:r>
    </w:p>
    <w:p w14:paraId="53C495C2">
      <w:pPr>
        <w:spacing w:before="120" w:line="276" w:lineRule="auto"/>
        <w:ind w:firstLine="720"/>
        <w:jc w:val="both"/>
        <w:rPr>
          <w:szCs w:val="24"/>
        </w:rPr>
      </w:pPr>
      <w:r>
        <w:t xml:space="preserve">a) Đầu tư cho các chương trình, dự án, nhiệm vụ và đối tượng đầu tư công khác do cấp tỉnh quản lý theo quy định của </w:t>
      </w:r>
      <w:bookmarkStart w:id="13" w:name="tvpllink_egevmdwtbo_1"/>
      <w:r>
        <w:t>Luật Đầu tư công</w:t>
      </w:r>
      <w:bookmarkEnd w:id="13"/>
      <w:r>
        <w:t>; đầu tư cho các dự án đầu tư xây dựng công trình kết cấu hạ tầng trên địa bàn thuộc nhiệm vụ chi của ngân sách cấp trên trực tiếp; hỗ trợ địa phương khác đầu tư xây dựng dự án, công trình trọng điểm, liên kết vùng, liên kết quốc gia, liên kết quốc tế, có sức lan tỏa, tạo động lực phát triển kinh tế - xã hội và nhiệm vụ quan trọng khác phải bảo đảm trong khả năng cân đối ngân sách cấp mình và không làm ảnh hưởng đến việc thực hiện nhiệm vụ thuộc trách nhiệm của ngân sách cấp mình;</w:t>
      </w:r>
    </w:p>
    <w:p w14:paraId="6555AC79">
      <w:pPr>
        <w:spacing w:before="120" w:line="276" w:lineRule="auto"/>
        <w:ind w:firstLine="720"/>
        <w:jc w:val="both"/>
        <w:rPr>
          <w:szCs w:val="24"/>
        </w:rPr>
      </w:pPr>
      <w:r>
        <w:t>b) Đầu tư và hỗ trợ vốn cho các doanh nghiệp cung cấp sản phẩm, dịch vụ công ích thiết yếu cho xã hội do Nhà nước đặt hàng; các tổ chức kinh tế; các tổ chức tài chính của địa phương; đầu tư vốn nhà nước vào doanh nghiệp do cấp tỉnh quản lý theo quy định của pháp luật;</w:t>
      </w:r>
    </w:p>
    <w:p w14:paraId="4DD6CDA2">
      <w:pPr>
        <w:spacing w:before="120" w:line="276" w:lineRule="auto"/>
        <w:ind w:firstLine="720"/>
        <w:jc w:val="both"/>
        <w:rPr>
          <w:szCs w:val="24"/>
        </w:rPr>
      </w:pPr>
      <w:r>
        <w:t>c) Cấp bù chênh lệch lãi suất, phí quản lý và ủy thác cho vay qua ngân hàng chính sách để thực hiện các chính sách phát triển kinh tế - xã hội tại địa phương;</w:t>
      </w:r>
    </w:p>
    <w:p w14:paraId="51933984">
      <w:pPr>
        <w:spacing w:before="120" w:line="276" w:lineRule="auto"/>
        <w:ind w:firstLine="720"/>
        <w:jc w:val="both"/>
      </w:pPr>
      <w:r>
        <w:t>d) Các khoản chi đầu tư phát triển khác theo quy định của pháp luật.</w:t>
      </w:r>
    </w:p>
    <w:p w14:paraId="41D46682">
      <w:pPr>
        <w:spacing w:before="120" w:line="276" w:lineRule="auto"/>
        <w:ind w:firstLine="720"/>
        <w:jc w:val="both"/>
      </w:pPr>
      <w:r>
        <w:t>2. Chi thường xuyên của các cơ quan, đơn vị ở địa phương được phân cấp trực tiếp quản lý trong các lĩnh vực:</w:t>
      </w:r>
    </w:p>
    <w:p w14:paraId="1D946B7A">
      <w:pPr>
        <w:spacing w:before="120" w:line="276" w:lineRule="auto"/>
        <w:ind w:firstLine="720"/>
        <w:jc w:val="both"/>
        <w:rPr>
          <w:szCs w:val="24"/>
        </w:rPr>
      </w:pPr>
      <w:r>
        <w:t>a) Hoạt động của các cơ quan quản lý nhà nước, tổ chức chính trị, cơ quan Ủy ban Mặt trận Tổ quốc Việt Nam cấp tỉnh và các tổ chức chính trị - xã hội trực thuộc Cơ quan Mặt trận Tổ quốc Việt Nam cấp tỉnh.</w:t>
      </w:r>
    </w:p>
    <w:p w14:paraId="03B5293F">
      <w:pPr>
        <w:spacing w:before="120" w:line="276" w:lineRule="auto"/>
        <w:ind w:firstLine="720"/>
        <w:jc w:val="both"/>
        <w:rPr>
          <w:szCs w:val="24"/>
        </w:rPr>
      </w:pPr>
      <w:r>
        <w:t>Hỗ trợ các tổ chức xã hội thuộc cấp tỉnh thực hiện các nhiệm vụ được Nhà nước giao theo quy định của pháp luật, bao gồm: bảo đảm tiền lương, các chế độ chính sách khác và kinh phí hoạt động gắn với số biên chế được cấp có thẩm quyền giao; thực hiện các nhiệm vụ được cơ quan nhà nước có thẩm quyền giao;</w:t>
      </w:r>
    </w:p>
    <w:p w14:paraId="00C89E77">
      <w:pPr>
        <w:spacing w:before="120" w:line="276" w:lineRule="auto"/>
        <w:ind w:firstLine="720"/>
        <w:jc w:val="both"/>
      </w:pPr>
      <w:r>
        <w:t>b) Sự nghiệp giáo dục, bao gồm hoạt động giáo dục trung học phổ thông và các hoạt động giáo dục khác;</w:t>
      </w:r>
    </w:p>
    <w:p w14:paraId="13B3901F">
      <w:pPr>
        <w:spacing w:before="120" w:line="276" w:lineRule="auto"/>
        <w:ind w:firstLine="720"/>
        <w:jc w:val="both"/>
      </w:pPr>
      <w:r>
        <w:t>c) Sự nghiệp đào tạo và dạy nghề: giáo dục nghề nghiệp, đào tạo trung cấp, cao đẳng, đại học và các hình thức đào tạo, bồi dưỡng khác;</w:t>
      </w:r>
    </w:p>
    <w:p w14:paraId="52CF47A9">
      <w:pPr>
        <w:spacing w:before="120" w:line="276" w:lineRule="auto"/>
        <w:ind w:firstLine="720"/>
        <w:jc w:val="both"/>
      </w:pPr>
      <w:r>
        <w:t>d) Sự nghiệp khoa học và công nghệ, đổi mới sáng tạo và chuyển đổi số theo quy định của pháp luật về khoa học, công nghệ, đổi mới sáng tạo;</w:t>
      </w:r>
    </w:p>
    <w:p w14:paraId="12CD9DE7">
      <w:pPr>
        <w:spacing w:before="120" w:line="276" w:lineRule="auto"/>
        <w:ind w:firstLine="720"/>
        <w:jc w:val="both"/>
      </w:pPr>
      <w:r>
        <w:t>đ) Quốc phòng, an ninh, trật tự, an toàn xã hội phần giao cấp tỉnh quản lý; hỗ trợ thực hiện một số nhiệm vụ chi thuộc nhiệm vụ ngân sách trung ương theo quy định của Chính phủ và các văn bản hướng dẫn thực hiện;</w:t>
      </w:r>
    </w:p>
    <w:p w14:paraId="77CD3DC2">
      <w:pPr>
        <w:spacing w:before="120" w:line="276" w:lineRule="auto"/>
        <w:ind w:firstLine="720"/>
        <w:jc w:val="both"/>
      </w:pPr>
      <w:r>
        <w:t xml:space="preserve">e) Sự nghiệp y tế, dân số và gia đình, bao gồm hoạt động y tế dự phòng, khám bệnh, chữa bệnh; kinh phí đóng và hỗ trợ đóng bảo hiểm y tế cho các đối tượng do ngân sách nhà nước đóng hoặc hỗ trợ theo quy định của </w:t>
      </w:r>
      <w:bookmarkStart w:id="14" w:name="tvpllink_iogwzjxiui_1"/>
      <w:r>
        <w:t>Luật Bảo hiểm y tế</w:t>
      </w:r>
      <w:bookmarkEnd w:id="14"/>
      <w:r>
        <w:t xml:space="preserve">; vệ sinh an toàn thực phẩm; dân số và gia đình; các hoạt động y tế khác; </w:t>
      </w:r>
    </w:p>
    <w:p w14:paraId="0AB295C1">
      <w:pPr>
        <w:spacing w:before="120" w:line="276" w:lineRule="auto"/>
        <w:ind w:firstLine="720"/>
        <w:jc w:val="both"/>
        <w:rPr>
          <w:szCs w:val="24"/>
        </w:rPr>
      </w:pPr>
      <w:r>
        <w:t>g) Sự nghiệp văn hóa thông tin, bao gồm bảo tồn, bảo tàng, thư viện, trùng tu di tích lịch sử, lưu trữ lịch sử, các hoạt động sáng tạo văn học, nghệ thuật triển lãm và các hoạt động văn hóa, thông tin khác thuộc cấp tỉnh;</w:t>
      </w:r>
    </w:p>
    <w:p w14:paraId="227C0A94">
      <w:pPr>
        <w:spacing w:before="120" w:line="276" w:lineRule="auto"/>
        <w:ind w:firstLine="720"/>
        <w:jc w:val="both"/>
      </w:pPr>
      <w:r>
        <w:t>h) Sự nghiệp phát thanh, truyền hình;</w:t>
      </w:r>
    </w:p>
    <w:p w14:paraId="79FC3123">
      <w:pPr>
        <w:spacing w:before="120" w:line="276" w:lineRule="auto"/>
        <w:ind w:firstLine="720"/>
        <w:jc w:val="both"/>
        <w:rPr>
          <w:szCs w:val="24"/>
        </w:rPr>
      </w:pPr>
      <w:r>
        <w:t>i) Sự nghiệp thể dục, thể thao, bao gồm bồi dưỡng, huấn luyện huấn luyện viên, vận động viên các đội tuyển cấp tỉnh; các giải thi đấu cấp tỉnh; quản lý các cơ sở thi đấu thể thao và các hoạt động thể dục, thể thao khác thuộc cấp tỉnh quản lý;</w:t>
      </w:r>
    </w:p>
    <w:p w14:paraId="09C350D1">
      <w:pPr>
        <w:spacing w:before="120" w:line="276" w:lineRule="auto"/>
        <w:ind w:firstLine="720"/>
        <w:jc w:val="both"/>
        <w:rPr>
          <w:szCs w:val="24"/>
        </w:rPr>
      </w:pPr>
      <w:r>
        <w:t>k) Sự nghiệp bảo vệ môi trường, bao gồm hoạt động điều tra, phòng ngừa và kiểm soát ô nhiễm môi trường; khắc phục sự cố và bảo vệ môi trường; ứng phó với biến đổi khí hậu; bảo đảm nước sạch và vệ sinh môi trường; thu gom, vận chuyển và xử lý rác thải, nước thải sinh hoạt và hoạt động bảo vệ môi trường khác;</w:t>
      </w:r>
    </w:p>
    <w:p w14:paraId="46256D02">
      <w:pPr>
        <w:spacing w:before="120" w:line="276" w:lineRule="auto"/>
        <w:ind w:firstLine="720"/>
        <w:jc w:val="both"/>
        <w:rPr>
          <w:szCs w:val="24"/>
        </w:rPr>
      </w:pPr>
      <w:r>
        <w:t>i) Chi bảo đảm xã hội, bao gồm các cơ sở bảo trợ xã hội, cứu đói, phòng chống các tệ nạn xã hội, kinh phí hỗ trợ tiền đóng bảo hiểm xã hội cho người tham gia bảo hiểm xã hội tự nguyện và các chính sách an sinh xã hội khác; thực hiện các chính sách an sinh xã hội đối với các đối tượng do cấp tỉnh bảo đảm theo quy định của pháp luật;</w:t>
      </w:r>
    </w:p>
    <w:p w14:paraId="0B9711EF">
      <w:pPr>
        <w:spacing w:before="120" w:line="276" w:lineRule="auto"/>
        <w:ind w:firstLine="720"/>
        <w:jc w:val="both"/>
      </w:pPr>
      <w:r>
        <w:t>l) Các hoạt động kinh tế do cấp tỉnh quản lý, gồm:</w:t>
      </w:r>
    </w:p>
    <w:p w14:paraId="07424AC7">
      <w:pPr>
        <w:spacing w:before="120" w:line="276" w:lineRule="auto"/>
        <w:ind w:firstLine="720"/>
        <w:jc w:val="both"/>
        <w:rPr>
          <w:szCs w:val="24"/>
        </w:rPr>
      </w:pPr>
      <w:r>
        <w:t>- Sự nghiệp giao thông, bao gồm hoạt động quản lý, bảo trì, sửa chữa, bảo đảm hoạt động, an toàn giao thông đường bộ, đường thủy nội địa và hoạt động giao thông khác;</w:t>
      </w:r>
    </w:p>
    <w:p w14:paraId="10400878">
      <w:pPr>
        <w:spacing w:before="120" w:line="276" w:lineRule="auto"/>
        <w:ind w:firstLine="720"/>
        <w:jc w:val="both"/>
        <w:rPr>
          <w:szCs w:val="24"/>
        </w:rPr>
      </w:pPr>
      <w:r>
        <w:t>- Sự nghiệp nông nghiệp, lâm nghiệp, diêm nghiệp, thủy sản, thủy lợi và phát triển nông thôn, bao gồm hoạt động phát triển nông, lâm, diêm nghiệp, thủy sản, thủy lợi; xây dựng nông thôn mới và hoạt động phát triển nông thôn khác;</w:t>
      </w:r>
    </w:p>
    <w:p w14:paraId="1F8EF345">
      <w:pPr>
        <w:spacing w:before="120" w:line="276" w:lineRule="auto"/>
        <w:ind w:firstLine="720"/>
        <w:jc w:val="both"/>
        <w:rPr>
          <w:szCs w:val="24"/>
        </w:rPr>
      </w:pPr>
      <w:r>
        <w:t>- Sự nghiệp tài nguyên, bao gồm hoạt động điều tra, quản lý đất đai, tài nguyên; đo đạc và bản đồ, đo đạc địa giới hành chính; lập hồ sơ, lưu trữ hồ sơ địa chính và hoạt động quản lý tài nguyên khác;</w:t>
      </w:r>
    </w:p>
    <w:p w14:paraId="0C11C5F5">
      <w:pPr>
        <w:spacing w:before="120" w:line="276" w:lineRule="auto"/>
        <w:ind w:firstLine="720"/>
        <w:jc w:val="both"/>
        <w:rPr>
          <w:szCs w:val="24"/>
        </w:rPr>
      </w:pPr>
      <w:r>
        <w:t>- Quy hoạch; xúc tiến đầu tư, thương mại, du lịch;</w:t>
      </w:r>
    </w:p>
    <w:p w14:paraId="7DD2E68D">
      <w:pPr>
        <w:spacing w:before="120" w:line="276" w:lineRule="auto"/>
        <w:ind w:firstLine="720"/>
        <w:jc w:val="both"/>
        <w:rPr>
          <w:szCs w:val="24"/>
        </w:rPr>
      </w:pPr>
      <w:r>
        <w:t>- Sự nghiệp kiến thiết thị chính, bao gồm: duy tu, bảo dưỡng hệ thống đèn chiếu sáng, vỉa hè, hệ thống cấp nước, thoát nước, công viên và các hoạt động kiến thiết thị chính khác;</w:t>
      </w:r>
    </w:p>
    <w:p w14:paraId="687B05C6">
      <w:pPr>
        <w:spacing w:before="120" w:line="276" w:lineRule="auto"/>
        <w:ind w:firstLine="720"/>
        <w:jc w:val="both"/>
      </w:pPr>
      <w:r>
        <w:t>- Các hoạt động kinh tế khác, bao gồm cả tìm kiếm cứu nạn, an toàn vệ sinh lao động;</w:t>
      </w:r>
    </w:p>
    <w:p w14:paraId="21F95678">
      <w:pPr>
        <w:spacing w:before="120" w:line="276" w:lineRule="auto"/>
        <w:ind w:firstLine="720"/>
        <w:jc w:val="both"/>
        <w:rPr>
          <w:szCs w:val="24"/>
        </w:rPr>
      </w:pPr>
      <w:r>
        <w:t>n) Các khoản chi thường xuyên khác theo quy định của pháp luật, bao gồm chi nộp trả ngân sách cấp trên.</w:t>
      </w:r>
    </w:p>
    <w:p w14:paraId="39FBBCD5">
      <w:pPr>
        <w:spacing w:before="120" w:line="276" w:lineRule="auto"/>
        <w:ind w:firstLine="720"/>
        <w:jc w:val="both"/>
      </w:pPr>
      <w:r>
        <w:t>3. Chi trả lãi, phí và chi phí phát sinh khác từ các khoản vay của chính quyền địa phương cấp tỉnh theo quy định của Luật Ngân sách nhà nước;</w:t>
      </w:r>
    </w:p>
    <w:p w14:paraId="1F2544AA">
      <w:pPr>
        <w:spacing w:before="120" w:line="276" w:lineRule="auto"/>
        <w:ind w:firstLine="720"/>
        <w:jc w:val="both"/>
      </w:pPr>
      <w:r>
        <w:t>4. Chi bổ sung Quỹ dự trữ tài chính;</w:t>
      </w:r>
    </w:p>
    <w:p w14:paraId="17582394">
      <w:pPr>
        <w:spacing w:before="120" w:line="276" w:lineRule="auto"/>
        <w:ind w:firstLine="720"/>
        <w:jc w:val="both"/>
      </w:pPr>
      <w:r>
        <w:t>5. Chi viện trợ theo quy định của Chính phủ;</w:t>
      </w:r>
    </w:p>
    <w:p w14:paraId="70892592">
      <w:pPr>
        <w:spacing w:before="120" w:line="276" w:lineRule="auto"/>
        <w:ind w:firstLine="720"/>
        <w:jc w:val="both"/>
      </w:pPr>
      <w:r>
        <w:t>6. Chi cho vay theo quy định của Chính phủ;</w:t>
      </w:r>
    </w:p>
    <w:p w14:paraId="147E602D">
      <w:pPr>
        <w:spacing w:before="120" w:line="276" w:lineRule="auto"/>
        <w:ind w:firstLine="720"/>
        <w:jc w:val="both"/>
      </w:pPr>
      <w:r>
        <w:t>7. Chi thực hiện các đề án, chế độ, chính sách theo quy định;</w:t>
      </w:r>
    </w:p>
    <w:p w14:paraId="55C87C46">
      <w:pPr>
        <w:spacing w:before="120" w:line="276" w:lineRule="auto"/>
        <w:ind w:firstLine="720"/>
        <w:jc w:val="both"/>
      </w:pPr>
      <w:r>
        <w:t>8. Chi chuyển nguồn sang năm sau của ngân sách tỉnh;</w:t>
      </w:r>
    </w:p>
    <w:p w14:paraId="36033529">
      <w:pPr>
        <w:spacing w:before="120" w:line="276" w:lineRule="auto"/>
        <w:ind w:firstLine="720"/>
        <w:jc w:val="both"/>
      </w:pPr>
      <w:r>
        <w:t>9. Chi bổ sung cân đối ngân sách, bổ sung có mục tiêu cho ngân sách cấp xã;</w:t>
      </w:r>
    </w:p>
    <w:p w14:paraId="3AC0FF8D">
      <w:pPr>
        <w:spacing w:before="120" w:line="276" w:lineRule="auto"/>
        <w:ind w:firstLine="720"/>
        <w:jc w:val="both"/>
      </w:pPr>
      <w:r>
        <w:t>10. Chi hỗ trợ thực hiện một số nhiệm vụ theo quy định tại các điểm a, b và c khoản 5, Điều 9 của Luật Ngân sách nhà nước.</w:t>
      </w:r>
    </w:p>
    <w:p w14:paraId="6C4C5CE6">
      <w:pPr>
        <w:spacing w:before="120" w:line="276" w:lineRule="auto"/>
        <w:ind w:firstLine="720"/>
        <w:jc w:val="both"/>
      </w:pPr>
      <w:bookmarkStart w:id="15" w:name="dieu_10"/>
      <w:r>
        <w:rPr>
          <w:b/>
          <w:bCs/>
        </w:rPr>
        <w:t>Điều 8. Nhiệm vụ chi của ngân sách cấp xã</w:t>
      </w:r>
      <w:bookmarkEnd w:id="15"/>
    </w:p>
    <w:p w14:paraId="3E5D6286">
      <w:pPr>
        <w:spacing w:before="120" w:line="276" w:lineRule="auto"/>
        <w:ind w:firstLine="720"/>
        <w:jc w:val="both"/>
      </w:pPr>
      <w:r>
        <w:t>1. Chi đầu tư phát triển:</w:t>
      </w:r>
    </w:p>
    <w:p w14:paraId="30D4685C">
      <w:pPr>
        <w:spacing w:before="120" w:line="276" w:lineRule="auto"/>
        <w:ind w:firstLine="720"/>
        <w:jc w:val="both"/>
        <w:rPr>
          <w:szCs w:val="24"/>
        </w:rPr>
      </w:pPr>
      <w:r>
        <w:t>a) Đầu tư cho các chương trình, dự án, nhiệm vụ và đối tượng đầu tư công khác do cấp xã quản lý theo quy định của Luật Đầu tư công; đầu tư cho các dự án đầu tư xây dựng công trình kết cấu hạ tầng trên địa bàn thuộc nhiệm vụ chi của ngân sách cấp trên trực tiếp; hỗ trợ địa phương khác đầu tư xây dựng dự án, công trình trọng điểm, liên kết vùng, liên kết quốc gia, liên kết quốc tế, có sức lan tỏa, tạo động lực phát triển kinh tế - xã hội và nhiệm vụ quan trọng khác phải bảo đảm trong khả năng cân đối ngân sách cấp mình và không làm ảnh hưởng đến việc thực hiện nhiệm vụ thuộc trách nhiệm của ngân sách cấp mình;</w:t>
      </w:r>
    </w:p>
    <w:p w14:paraId="6045457D">
      <w:pPr>
        <w:spacing w:before="120" w:line="276" w:lineRule="auto"/>
        <w:ind w:firstLine="720"/>
        <w:jc w:val="both"/>
      </w:pPr>
      <w:r>
        <w:t>b) Đầu tư và hỗ trợ vốn cho các doanh nghiệp cung cấp sản phẩm, dịch vụ công ích thiết yếu cho xã hội do Nhà nước đặt hàng; các tổ chức kinh tế; các tổ chức tài chính thuộc cấp xã theo quy định của pháp luật;</w:t>
      </w:r>
    </w:p>
    <w:p w14:paraId="104726A7">
      <w:pPr>
        <w:spacing w:before="120" w:line="276" w:lineRule="auto"/>
        <w:ind w:firstLine="720"/>
        <w:jc w:val="both"/>
      </w:pPr>
      <w:r>
        <w:t>c) Các khoản chi đầu tư phát triển khác theo quy định của pháp luật.</w:t>
      </w:r>
    </w:p>
    <w:p w14:paraId="71B89F57">
      <w:pPr>
        <w:spacing w:before="120" w:line="276" w:lineRule="auto"/>
        <w:ind w:firstLine="720"/>
        <w:jc w:val="both"/>
      </w:pPr>
      <w:r>
        <w:t>2. Chi thường xuyên</w:t>
      </w:r>
    </w:p>
    <w:p w14:paraId="73380E13">
      <w:pPr>
        <w:spacing w:before="120" w:line="276" w:lineRule="auto"/>
        <w:ind w:firstLine="720"/>
        <w:jc w:val="both"/>
        <w:rPr>
          <w:szCs w:val="24"/>
        </w:rPr>
      </w:pPr>
      <w:r>
        <w:t>a) Hoạt động của các cơ quan quản lý nhà nước, tổ chức chính trị, cơ quan Ủy ban Mặt trận Tổ quốc Việt Nam cấp xã và các tổ chức chính trị - xã hội trực thuộc Cơ quan Mặt trận Tổ quốc Việt Nam cấp xã.</w:t>
      </w:r>
    </w:p>
    <w:p w14:paraId="6EE8D352">
      <w:pPr>
        <w:spacing w:before="120" w:line="276" w:lineRule="auto"/>
        <w:ind w:firstLine="720"/>
        <w:jc w:val="both"/>
        <w:rPr>
          <w:szCs w:val="24"/>
        </w:rPr>
      </w:pPr>
      <w:r>
        <w:t>Hỗ trợ các tổ chức xã hội thuộc cấp xã thực hiện các nhiệm vụ được Nhà nước giao theo quy định của pháp luật, bao gồm: bảo đảm tiền lương, các chế độ chính sách khác và kinh phí hoạt động gắn với số biên chế được cấp có thẩm quyền giao; thực hiện các nhiệm vụ được cơ quan nhà nước có thẩm quyền giao;</w:t>
      </w:r>
    </w:p>
    <w:p w14:paraId="2D81E8A0">
      <w:pPr>
        <w:spacing w:before="120" w:line="276" w:lineRule="auto"/>
        <w:ind w:firstLine="720"/>
        <w:jc w:val="both"/>
      </w:pPr>
      <w:r>
        <w:t>b) Sự nghiệp giáo dục, bao gồm hoạt động giáo dục nhà trẻ, mẫu giáo, tiểu học, trung học cơ sở và các hoạt động giáo dục khác;</w:t>
      </w:r>
    </w:p>
    <w:p w14:paraId="534F1709">
      <w:pPr>
        <w:spacing w:before="120" w:line="276" w:lineRule="auto"/>
        <w:ind w:firstLine="720"/>
        <w:jc w:val="both"/>
      </w:pPr>
      <w:r>
        <w:t>c) Sự nghiệp đào tạo và dạy nghề;</w:t>
      </w:r>
    </w:p>
    <w:p w14:paraId="224DE5F3">
      <w:pPr>
        <w:spacing w:before="120" w:line="276" w:lineRule="auto"/>
        <w:ind w:firstLine="720"/>
        <w:jc w:val="both"/>
      </w:pPr>
      <w:r>
        <w:t>d) Sự nghiệp khoa học và công nghệ, đổi mới sáng tạo và chuyển đổi số theo quy định của pháp luật về khoa học, công nghệ, đổi mới sáng tạo;</w:t>
      </w:r>
    </w:p>
    <w:p w14:paraId="7F211609">
      <w:pPr>
        <w:spacing w:before="120" w:line="276" w:lineRule="auto"/>
        <w:ind w:firstLine="720"/>
        <w:jc w:val="both"/>
      </w:pPr>
      <w:r>
        <w:t>đ) Quốc phòng, an ninh, trật tự, an toàn xã hội phần giao cấp xã quản lý; hỗ trợ thực hiện một số nhiệm vụ chi thuộc nhiệm vụ ngân sách cấp trên theo quy định của Chính phủ và các văn bản hướng dẫn thực hiện;</w:t>
      </w:r>
    </w:p>
    <w:p w14:paraId="5137146B">
      <w:pPr>
        <w:spacing w:before="120" w:line="276" w:lineRule="auto"/>
        <w:ind w:firstLine="720"/>
        <w:jc w:val="both"/>
      </w:pPr>
      <w:r>
        <w:t xml:space="preserve">e) Sự nghiệp y tế, dân số và gia đình, bao gồm hoạt động y tế dự phòng, khám bệnh, chữa bệnh; kinh phí đóng và hỗ trợ đóng bảo hiểm y tế cho các đối tượng do ngân sách nhà nước đóng hoặc hỗ trợ theo quy định của Luật Bảo hiểm y tế; vệ sinh an toàn thực phẩm; dân số và gia đình; các hoạt động y tế khác; </w:t>
      </w:r>
    </w:p>
    <w:p w14:paraId="25F3E8AB">
      <w:pPr>
        <w:spacing w:before="120" w:line="276" w:lineRule="auto"/>
        <w:ind w:firstLine="720"/>
        <w:jc w:val="both"/>
        <w:rPr>
          <w:szCs w:val="24"/>
        </w:rPr>
      </w:pPr>
      <w:r>
        <w:t>g) Sự nghiệp văn hóa thông tin, bao gồm bảo tồn, trùng tu di tích lịch sử, các hoạt động sáng tạo văn học, nghệ thuật triển lãm và các hoạt động văn hóa, thông tin khác;</w:t>
      </w:r>
    </w:p>
    <w:p w14:paraId="688C481A">
      <w:pPr>
        <w:spacing w:before="120" w:line="276" w:lineRule="auto"/>
        <w:ind w:firstLine="720"/>
        <w:jc w:val="both"/>
      </w:pPr>
      <w:r>
        <w:t>h)Sự nghiệp phát thanh, truyền hình;</w:t>
      </w:r>
    </w:p>
    <w:p w14:paraId="3A84BEA6">
      <w:pPr>
        <w:spacing w:before="120" w:line="276" w:lineRule="auto"/>
        <w:ind w:firstLine="720"/>
        <w:jc w:val="both"/>
        <w:rPr>
          <w:szCs w:val="24"/>
        </w:rPr>
      </w:pPr>
      <w:r>
        <w:t>i) Sự nghiệp thể dục, thể thao, bao gồm bồi dưỡng, huấn luyện huấn luyện viên, vận động viên các đội tuyển cấp xã</w:t>
      </w:r>
      <w:r>
        <w:rPr>
          <w:strike/>
        </w:rPr>
        <w:t>;</w:t>
      </w:r>
      <w:r>
        <w:t xml:space="preserve"> các giải thi đấu cấp xã; quản lý các hoạt động thể dục, thể thao khác;</w:t>
      </w:r>
    </w:p>
    <w:p w14:paraId="34CAFCC7">
      <w:pPr>
        <w:spacing w:before="120" w:line="276" w:lineRule="auto"/>
        <w:ind w:firstLine="720"/>
        <w:jc w:val="both"/>
        <w:rPr>
          <w:szCs w:val="24"/>
        </w:rPr>
      </w:pPr>
      <w:r>
        <w:t>k) Sự nghiệp bảo vệ môi trường, bao gồm hoạt động điều tra, phòng ngừa và kiểm soát ô nhiễm môi trường; khắc phục sự cố và bảo vệ môi trường; ứng phó với biến đổi khí hậu; bảo đảm nước sạch và vệ sinh môi trường; thu gom, vận chuyển và xử lý rác thải, nước thải sinh hoạt và hoạt động bảo vệ môi trường khác;</w:t>
      </w:r>
    </w:p>
    <w:p w14:paraId="39B2A588">
      <w:pPr>
        <w:spacing w:before="120" w:line="276" w:lineRule="auto"/>
        <w:ind w:firstLine="720"/>
        <w:jc w:val="both"/>
        <w:rPr>
          <w:szCs w:val="24"/>
        </w:rPr>
      </w:pPr>
      <w:r>
        <w:t>i) Chi bảo đảm xã hội, bao gồm, cứu đói, phòng chống các tệ nạn xã hội và các chính sách an sinh xã hội khác; thực hiện các chính sách an sinh xã hội đối với các đối tượng do cấp xã bảo đảm theo quy định của pháp luật;</w:t>
      </w:r>
    </w:p>
    <w:p w14:paraId="41D1B6AB">
      <w:pPr>
        <w:spacing w:before="120" w:line="276" w:lineRule="auto"/>
        <w:ind w:firstLine="720"/>
        <w:jc w:val="both"/>
      </w:pPr>
      <w:r>
        <w:t>l) Các hoạt động kinh tế do cấp xã quản lý, gồm:</w:t>
      </w:r>
    </w:p>
    <w:p w14:paraId="429445E0">
      <w:pPr>
        <w:spacing w:before="120" w:line="276" w:lineRule="auto"/>
        <w:ind w:firstLine="720"/>
        <w:jc w:val="both"/>
        <w:rPr>
          <w:szCs w:val="24"/>
        </w:rPr>
      </w:pPr>
      <w:r>
        <w:t>- Sự nghiệp giao thông, bao gồm hoạt động quản lý, bảo trì, sửa chữa, bảo đảm hoạt động, an toàn giao thông đường bộ, đường thủy nội địa và hoạt động giao thông khác;</w:t>
      </w:r>
    </w:p>
    <w:p w14:paraId="49D827DC">
      <w:pPr>
        <w:spacing w:before="120" w:line="276" w:lineRule="auto"/>
        <w:ind w:firstLine="720"/>
        <w:jc w:val="both"/>
        <w:rPr>
          <w:szCs w:val="24"/>
        </w:rPr>
      </w:pPr>
      <w:r>
        <w:t>- Sự nghiệp nông nghiệp, lâm nghiệp, diêm nghiệp, thủy sản, thủy lợi và phát triển nông thôn, bao gồm hoạt động phát triển nông, lâm, diêm nghiệp, thủy sản, thủy lợi; xây dựng nông thôn mới và hoạt động phát triển nông thôn khác;</w:t>
      </w:r>
    </w:p>
    <w:p w14:paraId="54881355">
      <w:pPr>
        <w:spacing w:before="120" w:line="276" w:lineRule="auto"/>
        <w:ind w:firstLine="720"/>
        <w:jc w:val="both"/>
        <w:rPr>
          <w:szCs w:val="24"/>
        </w:rPr>
      </w:pPr>
      <w:r>
        <w:t>- Sự nghiệp tài nguyên, bao gồm hoạt động điều tra, quản lý đất đai, tài nguyên; đo đạc và bản đồ, đo đạc địa giới hành chính; lập hồ sơ, lưu trữ hồ sơ địa chính và hoạt động quản lý tài nguyên khác;</w:t>
      </w:r>
    </w:p>
    <w:p w14:paraId="7212B114">
      <w:pPr>
        <w:spacing w:before="120" w:line="276" w:lineRule="auto"/>
        <w:ind w:firstLine="720"/>
        <w:jc w:val="both"/>
        <w:rPr>
          <w:szCs w:val="24"/>
        </w:rPr>
      </w:pPr>
      <w:r>
        <w:t>- Quy hoạch; xúc tiến đầu tư, thương mại, du lịch;</w:t>
      </w:r>
    </w:p>
    <w:p w14:paraId="34B925FD">
      <w:pPr>
        <w:spacing w:before="120" w:line="276" w:lineRule="auto"/>
        <w:ind w:firstLine="720"/>
        <w:jc w:val="both"/>
        <w:rPr>
          <w:szCs w:val="24"/>
        </w:rPr>
      </w:pPr>
      <w:r>
        <w:t>- Sự nghiệp kiến thiết thị chính, bao gồm: duy tu, bảo dưỡng hệ thống đèn chiếu sáng, vỉa hè, hệ thống cấp nước, thoát nước, công viên và các hoạt động kiến thiết thị chính khác;</w:t>
      </w:r>
    </w:p>
    <w:p w14:paraId="2A245F66">
      <w:pPr>
        <w:spacing w:before="120" w:line="276" w:lineRule="auto"/>
        <w:ind w:firstLine="720"/>
        <w:jc w:val="both"/>
        <w:rPr>
          <w:szCs w:val="24"/>
        </w:rPr>
      </w:pPr>
      <w:r>
        <w:t>- Các hoạt động kinh tế khác, bao gồm cả tìm kiếm cứu nạn, an toàn vệ sinh lao động;</w:t>
      </w:r>
    </w:p>
    <w:p w14:paraId="2FD7513C">
      <w:pPr>
        <w:spacing w:before="120" w:line="276" w:lineRule="auto"/>
        <w:ind w:firstLine="720"/>
        <w:jc w:val="both"/>
        <w:rPr>
          <w:szCs w:val="24"/>
        </w:rPr>
      </w:pPr>
      <w:r>
        <w:t>n) Các khoản chi thường xuyên khác theo quy định của pháp luật, bao gồm chi nộp trả ngân sách cấp trên.</w:t>
      </w:r>
    </w:p>
    <w:p w14:paraId="69A15E80">
      <w:pPr>
        <w:spacing w:before="120" w:line="276" w:lineRule="auto"/>
        <w:ind w:firstLine="720"/>
        <w:jc w:val="both"/>
      </w:pPr>
      <w:r>
        <w:t>3. Chi thực hiện các đề án, chế độ, chính sách theo quy định.</w:t>
      </w:r>
    </w:p>
    <w:p w14:paraId="0D4728EB">
      <w:pPr>
        <w:spacing w:before="120" w:line="276" w:lineRule="auto"/>
        <w:ind w:firstLine="720"/>
        <w:jc w:val="both"/>
      </w:pPr>
      <w:r>
        <w:t>4. Chi chuyển nguồn sang năm sau của ngân sách tỉnh.</w:t>
      </w:r>
    </w:p>
    <w:p w14:paraId="03CC70BE">
      <w:pPr>
        <w:spacing w:before="120" w:line="276" w:lineRule="auto"/>
        <w:ind w:firstLine="720"/>
        <w:jc w:val="both"/>
      </w:pPr>
      <w:r>
        <w:t>5. Chi hỗ trợ thực hiện một số nhiệm vụ theo quy định tại các điểm a, b và c khoản 5, Điều 9 của Luật Ngân sách nhà nước.</w:t>
      </w:r>
    </w:p>
    <w:p w14:paraId="49346BCE">
      <w:pPr>
        <w:spacing w:before="120" w:line="276" w:lineRule="auto"/>
        <w:jc w:val="center"/>
      </w:pPr>
      <w:bookmarkStart w:id="16" w:name="chuong_3"/>
      <w:r>
        <w:rPr>
          <w:b/>
          <w:bCs/>
        </w:rPr>
        <w:t xml:space="preserve">Chương </w:t>
      </w:r>
      <w:bookmarkEnd w:id="16"/>
      <w:r>
        <w:rPr>
          <w:b/>
          <w:bCs/>
        </w:rPr>
        <w:t>III</w:t>
      </w:r>
    </w:p>
    <w:p w14:paraId="1B088DD6">
      <w:pPr>
        <w:spacing w:before="120" w:line="276" w:lineRule="auto"/>
        <w:jc w:val="center"/>
      </w:pPr>
      <w:bookmarkStart w:id="17" w:name="chuong_3_name"/>
      <w:r>
        <w:rPr>
          <w:b/>
          <w:bCs/>
          <w:sz w:val="24"/>
        </w:rPr>
        <w:t>QUY ĐỊNH VỀ TIÊU CHÍ, ĐỊNH MỨC PHÂN BỔ CHI THƯỜNG XUYÊN NGÂN SÁCH ĐỊA PHƯƠNG NĂM 202</w:t>
      </w:r>
      <w:bookmarkEnd w:id="17"/>
      <w:r>
        <w:rPr>
          <w:b/>
          <w:bCs/>
          <w:sz w:val="24"/>
        </w:rPr>
        <w:t>7</w:t>
      </w:r>
    </w:p>
    <w:p w14:paraId="00ADC73E">
      <w:pPr>
        <w:spacing w:before="120" w:line="276" w:lineRule="auto"/>
        <w:ind w:firstLine="720"/>
        <w:jc w:val="center"/>
      </w:pPr>
      <w:bookmarkStart w:id="18" w:name="muc_1_3"/>
      <w:r>
        <w:rPr>
          <w:b/>
          <w:bCs/>
        </w:rPr>
        <w:t>Mục 1. Tiêu chí, định mức phân bổ dự toán chi thường xuyên ngân sách cấp tỉnh</w:t>
      </w:r>
      <w:bookmarkEnd w:id="18"/>
    </w:p>
    <w:p w14:paraId="14D9DA27">
      <w:pPr>
        <w:spacing w:before="120" w:line="276" w:lineRule="auto"/>
        <w:ind w:firstLine="720"/>
        <w:jc w:val="both"/>
      </w:pPr>
      <w:bookmarkStart w:id="19" w:name="dieu_11"/>
      <w:r>
        <w:rPr>
          <w:b/>
          <w:bCs/>
        </w:rPr>
        <w:t xml:space="preserve">Điều 9. Chi quản lý hành chính các cơ quan nhà nước, đảng, đoàn thể, tổ chức chính trị xã hội, sự nghiệp xã hội, sự nghiệp khác </w:t>
      </w:r>
      <w:r>
        <w:rPr>
          <w:bCs/>
          <w:i/>
        </w:rPr>
        <w:t>(không bao gồm sự nghiệp ngành quy định tại Điều 11 đến Điều 14, mục này)</w:t>
      </w:r>
      <w:bookmarkEnd w:id="19"/>
    </w:p>
    <w:p w14:paraId="7AD139BB">
      <w:pPr>
        <w:spacing w:before="120" w:line="276" w:lineRule="auto"/>
        <w:ind w:firstLine="720"/>
        <w:jc w:val="both"/>
      </w:pPr>
      <w:r>
        <w:t>1. Chi tiền lương, phụ cấp và các khoản có tính chất lương:</w:t>
      </w:r>
    </w:p>
    <w:p w14:paraId="4F5048F0">
      <w:pPr>
        <w:spacing w:before="120" w:line="276" w:lineRule="auto"/>
        <w:ind w:firstLine="720"/>
        <w:jc w:val="both"/>
      </w:pPr>
      <w:r>
        <w:t>Phân bổ theo chỉ tiêu biên chế được cấp có thẩm quyền giao và các quy định hiện hành về tiền lương, tiền thưởng, phụ cấp và các khoản đóng góp theo lương theo quy định.</w:t>
      </w:r>
    </w:p>
    <w:p w14:paraId="6752A9D8">
      <w:pPr>
        <w:spacing w:before="120" w:line="276" w:lineRule="auto"/>
        <w:ind w:firstLine="720"/>
        <w:jc w:val="both"/>
      </w:pPr>
      <w:r>
        <w:t>2. Định mức chi hoạt động thường xuyên, mức 65 triệu đồng/biên chế, bao gồm:</w:t>
      </w:r>
    </w:p>
    <w:p w14:paraId="54B69B90">
      <w:pPr>
        <w:spacing w:before="120" w:line="276" w:lineRule="auto"/>
        <w:jc w:val="both"/>
      </w:pPr>
      <w:r>
        <w:tab/>
      </w:r>
      <w:r>
        <w:t>a) Các khoản chi thường xuyên phục vụ hoạt động bộ máy các cơ quan: Khen thưởng theo chế độ, phúc lợi tập thể; thông tin, tuyên truyền, liên lạc; công tác phí, hội nghị, tổng kết; đoàn ra, đoàn vào; vật tư văn phòng, thanh toán dịch vụ công cộng; vận hành trụ sở cơ quan; chi hỗ trợ hoạt động cho công tác Đảng, đoàn thể trong cơ quan;</w:t>
      </w:r>
    </w:p>
    <w:p w14:paraId="47188F8A">
      <w:pPr>
        <w:spacing w:before="120" w:line="276" w:lineRule="auto"/>
        <w:ind w:firstLine="720"/>
        <w:jc w:val="both"/>
      </w:pPr>
      <w:r>
        <w:t>b) Các khoản chi nghiệp vụ mang tính thường xuyên phát sinh hằng năm: Chi nghiệp vụ chuyên môn quản lý ngành, lĩnh vực; tập huấn, tuyên truyền, phổ biến văn bản quy phạm pháp luật; chi hoạt động kiểm tra, giám sát; chi nhiệm vụ lưu trữ thường xuyên hằng năm;</w:t>
      </w:r>
    </w:p>
    <w:p w14:paraId="27FC6AE1">
      <w:pPr>
        <w:spacing w:before="120" w:line="276" w:lineRule="auto"/>
        <w:ind w:firstLine="720"/>
        <w:jc w:val="both"/>
      </w:pPr>
      <w:r>
        <w:t xml:space="preserve">c) </w:t>
      </w:r>
      <w:bookmarkStart w:id="20" w:name="_Hlk242947558"/>
      <w:r>
        <w:t>Chi tiền lương, tiền công lao động và chi hoạt động cho các đối tượng hợp đồng lao động làm công việc thừa hành, phục vụ theo quy định</w:t>
      </w:r>
      <w:bookmarkEnd w:id="20"/>
      <w:r>
        <w:t>;</w:t>
      </w:r>
    </w:p>
    <w:p w14:paraId="0923FBE1">
      <w:pPr>
        <w:spacing w:before="120" w:line="276" w:lineRule="auto"/>
        <w:ind w:firstLine="720"/>
        <w:jc w:val="both"/>
      </w:pPr>
      <w:r>
        <w:t>d) Kinh phí bảo dưỡng, bảo trì, sửa chữa thường xuyên các công trình cơ sở hạ tầng, tài sản phục vụ công tác chuyên môn; kinh phí mua sắm, thay thế tài sản, máy móc, trang thiết bị văn phòng phổ biến của cơ quan, tổ chức, đơn vị theo quy định; kinh phí thuê dịch vụ phục vụ công tác chuyên môn thường xuyên của cán bộ, công chức theo quy định.</w:t>
      </w:r>
    </w:p>
    <w:p w14:paraId="6CACFF3B">
      <w:pPr>
        <w:spacing w:before="120" w:line="276" w:lineRule="auto"/>
        <w:ind w:firstLine="720"/>
        <w:jc w:val="both"/>
      </w:pPr>
      <w:r>
        <w:t>3. Kinh phí thực hiện các nhiệm vụ đặc thù của từng cơ quan, đơn vị quản lý hành chính nhà nước, đảng, đoàn thể, tổ chức chính trị xã hội:</w:t>
      </w:r>
    </w:p>
    <w:p w14:paraId="15BF10D2">
      <w:pPr>
        <w:spacing w:before="120" w:line="276" w:lineRule="auto"/>
        <w:ind w:firstLine="720"/>
        <w:jc w:val="both"/>
      </w:pPr>
      <w:r>
        <w:t>a) Bổ sung kinh phí thực hiện các khoản chi đặc thù chung của các cơ quan Sở, ban, ngành, đoàn thể cấp tỉnh, gồm: đóng niên liễm; kinh phí đối ứng của các dự án; chi thuê trụ sở; chi hoạt động của các Ban chỉ đạo, Ban điều phối, Tổ công tác liên ngành, các Ủy ban, các Hội đồng được Chủ tịch UBND tỉnh quyết định thành lập hoặc giao các Sở, ban, ngành quyết định thành lập; kinh phí thực hiện công tác xây dựng, ban hành văn bản quy phạm pháp luật theo quy định của pháp luật, tổ chức thi hành pháp luật (trừ các nhiệm vụ đã tính trong định mức phân bổ theo tiêu chí biên chế); chính sách quy định; chi mua sắm, sửa chữa, cải tạo, nâng cấp tài sản, trang thiết bị và chi thuê hàng hóa, dịch vụ (trừ các tài sản, máy móc, thiết bị văn phòng phổ biến của cơ quan, tổ chức, đơn vị theo quy định đã tính trong định mức phân bổ theo tiêu chí biên chế); sửa chữa, cải tạo, nâng cấp, mở rộng, xây dựng mới hạng mục công trình trong các dự án đã đầu tư xây dựng và các nhiệm vụ cần thiết khác theo quy định của pháp luật về ngân sách nhà nước; chi phục vụ công tác thu phí;</w:t>
      </w:r>
    </w:p>
    <w:p w14:paraId="37ABBDA2">
      <w:pPr>
        <w:spacing w:before="120" w:line="276" w:lineRule="auto"/>
        <w:ind w:firstLine="720"/>
        <w:jc w:val="both"/>
      </w:pPr>
      <w:r>
        <w:t>b) Các nhiệm vụ đặc thù phát sinh không thường xuyên khác được cơ quan có thẩm quyền quyết định;</w:t>
      </w:r>
    </w:p>
    <w:p w14:paraId="37F3473C">
      <w:pPr>
        <w:spacing w:before="120" w:line="276" w:lineRule="auto"/>
        <w:ind w:firstLine="720"/>
        <w:jc w:val="both"/>
      </w:pPr>
      <w:r>
        <w:t>c) Bổ sung kinh phí thực hiện chi các nhiệm vụ khác theo quy định của pháp luật và quyết định của cấp có thẩm quyền.</w:t>
      </w:r>
    </w:p>
    <w:p w14:paraId="7557CF0D">
      <w:pPr>
        <w:spacing w:before="120" w:line="276" w:lineRule="auto"/>
        <w:ind w:firstLine="720"/>
        <w:jc w:val="both"/>
      </w:pPr>
      <w:r>
        <w:t>4. Đối với khối các cơ quan Văn phòng (Văn phòng Tỉnh uỷ, Văn phòng Hội đồng nhân dân tỉnh và Văn phòng UBND tỉnh) ngoài định mức theo chỉ tiêu biên chế nêu trên, bổ sung thêm kinh phí thực hiện nhiệm vụ trên cơ sở các tiêu chuẩn, chế độ chi tiêu và các nhiệm vụ đặc thù theo quy định.</w:t>
      </w:r>
    </w:p>
    <w:p w14:paraId="55A7A41D">
      <w:pPr>
        <w:spacing w:before="120" w:line="276" w:lineRule="auto"/>
        <w:ind w:firstLine="720"/>
        <w:jc w:val="both"/>
      </w:pPr>
      <w:r>
        <w:t>5. Đối với các cơ quan, đơn vị quản lý hành chính nhà nước đang áp dụng cơ chế chính sách khoán chi từ nguồn phí: thực hiện theo quy định của pháp luật về ngân sách nhà nước và quy định của pháp luật khác có liên quan.</w:t>
      </w:r>
    </w:p>
    <w:p w14:paraId="6C96C388">
      <w:pPr>
        <w:spacing w:before="120" w:line="276" w:lineRule="auto"/>
        <w:ind w:firstLine="720"/>
        <w:jc w:val="both"/>
      </w:pPr>
      <w:r>
        <w:t>6. Các hội đặc thù, tổ chức chính trị xã hội - nghề nghiệp, tổ chức xã hội, tổ chức xã hội - nghề nghiệp: Ngân sách nhà nước hỗ trợ theo quy định của pháp luật về ngân sách nhà nước và quy định khác của pháp luật có liên quan.</w:t>
      </w:r>
    </w:p>
    <w:p w14:paraId="2CEBC607">
      <w:pPr>
        <w:spacing w:before="120" w:line="276" w:lineRule="auto"/>
        <w:ind w:firstLine="720"/>
        <w:jc w:val="both"/>
      </w:pPr>
      <w:r>
        <w:t>7. Trên cơ sở biên chế được cơ quan có thẩm quyền giao và mức chi thường xuyên theo định mức phân bổ, khuyến khích các cơ quan, đơn vị thực hiện tinh giản biên chế, tiết kiệm chi tiêu để tăng thu nhập cho cán bộ, công chức và tăng chi cho các nhiệm vụ trọng tâm của cơ quan, đơn vị.</w:t>
      </w:r>
    </w:p>
    <w:p w14:paraId="5CC0A314">
      <w:pPr>
        <w:spacing w:before="120" w:line="276" w:lineRule="auto"/>
        <w:ind w:firstLine="720"/>
        <w:jc w:val="both"/>
      </w:pPr>
      <w:bookmarkStart w:id="21" w:name="dieu_12"/>
      <w:r>
        <w:rPr>
          <w:b/>
          <w:bCs/>
        </w:rPr>
        <w:t>Điều 10. Tiêu chí, định mức chi sự nghiệp giáo dục</w:t>
      </w:r>
      <w:bookmarkEnd w:id="21"/>
    </w:p>
    <w:p w14:paraId="7B6C8336">
      <w:pPr>
        <w:spacing w:before="120" w:line="276" w:lineRule="auto"/>
        <w:ind w:firstLine="720"/>
        <w:jc w:val="both"/>
      </w:pPr>
      <w:r>
        <w:t xml:space="preserve">1. Đảm bảo tỷ lệ chi cho hoạt động giảng dạy và học tập (không bao gồm tiền lương, phụ cấp và các khoản đóng góp theo lương) tối thiểu là 19%, tỷ lệ chi tiền lương, phụ cấp, các khoản có tính chất lương (bảo hiểm xã hội, bảo hiểm y tế, bảo hiểm thất nghiệp, học bổng cho học sinh dân tộc nội trú) tối đa là 81% (chưa bao gồm chi từ nguồn thu học phí). </w:t>
      </w:r>
    </w:p>
    <w:p w14:paraId="138D6FFC">
      <w:pPr>
        <w:spacing w:before="120" w:line="276" w:lineRule="auto"/>
        <w:ind w:firstLine="720"/>
        <w:jc w:val="both"/>
      </w:pPr>
      <w:r>
        <w:t>2. Phân bổ theo tiêu chí bổ sung:</w:t>
      </w:r>
    </w:p>
    <w:p w14:paraId="005CC668">
      <w:pPr>
        <w:spacing w:before="120" w:line="276" w:lineRule="auto"/>
        <w:ind w:firstLine="720"/>
        <w:jc w:val="both"/>
      </w:pPr>
      <w:r>
        <w:t>a) Kinh phí ngân sách nhà nước thực hiện các chính sách do cơ quan có thẩm quyền ban hành, gồm: chính sách hỗ trợ học bổng và phương tiện, đồ dùng học tập cho học sinh khuyết tật; chính sách cho học sinh, học viên ở vùng đồng bào dân tộc thiểu số và miền núi, vùng bãi ngang, ven biển và hải đảo và cơ sở giáo dục có học sinh hưởng chính sách; chính sách hỗ trợ học phí và chi phí sinh hoạt đối với sinh viên sư phạm; chính sách hỗ trợ chi phí học tập đối với sinh viên là người dân tộc thiểu số; chính sách nội trú đối với học sinh, sinh viên học cao đẳng, trung cấp.</w:t>
      </w:r>
    </w:p>
    <w:p w14:paraId="2AED553F">
      <w:pPr>
        <w:spacing w:before="120" w:line="276" w:lineRule="auto"/>
        <w:ind w:firstLine="720"/>
        <w:jc w:val="both"/>
      </w:pPr>
      <w:r>
        <w:t xml:space="preserve">b) Kinh phí thực hiện các đề án, chính sách theo quy định và đối ứng các chương trình, dự án theo quy định; </w:t>
      </w:r>
    </w:p>
    <w:p w14:paraId="0BD28BA9">
      <w:pPr>
        <w:spacing w:before="120" w:line="276" w:lineRule="auto"/>
        <w:ind w:firstLine="720"/>
        <w:jc w:val="both"/>
      </w:pPr>
      <w:r>
        <w:t>c) Tăng cường cơ sở vật chất và thực hiện các nhiệm vụ trọng tâm khác của tỉnh đảm bảo theo quy định và phù hợp khả năng cân đối ngân sách.</w:t>
      </w:r>
    </w:p>
    <w:p w14:paraId="15BFF254">
      <w:pPr>
        <w:spacing w:before="120" w:line="276" w:lineRule="auto"/>
        <w:ind w:firstLine="720"/>
        <w:jc w:val="both"/>
        <w:rPr>
          <w:b/>
          <w:bCs/>
        </w:rPr>
      </w:pPr>
      <w:bookmarkStart w:id="22" w:name="dieu_13"/>
      <w:r>
        <w:rPr>
          <w:b/>
          <w:bCs/>
        </w:rPr>
        <w:t>Điều 11. Tiêu chí, định mức chi sự nghiệp đào tạo và dạy nghề; sự nghiệp y tế, dân số và gia đình; văn hóa thể thao và du lịch; thông tin truyền thông; phát thanh truyền hình; đảm bảo xã hội; môi trường; kinh tế...</w:t>
      </w:r>
      <w:bookmarkEnd w:id="22"/>
    </w:p>
    <w:p w14:paraId="62A607A6">
      <w:pPr>
        <w:spacing w:before="120" w:line="276" w:lineRule="auto"/>
        <w:ind w:firstLine="720"/>
        <w:jc w:val="both"/>
      </w:pPr>
      <w:r>
        <w:t>1. Đối với các đơn vị sự nghiệp công lập tự bảo đảm toàn bộ chi đầu tư và chi thường xuyên, đơn vị sự nghiệp công lập tự bảo đảm chi thường xuyên: Ngân sách nhà nước không hỗ trợ chi thường xuyên. Đơn vị thực hiện báo cáo đầy đủ nguồn thu, nhiệm vụ chi năm hiện hành và dự kiến năm kế hoạch gửi cơ quan quản lý cấp trên tổng hợp, gửi Bộ Tài chính cùng thời điểm xây dựng dự toán ngân sách nhà nước hằng năm;</w:t>
      </w:r>
    </w:p>
    <w:p w14:paraId="34D7D61A">
      <w:pPr>
        <w:spacing w:before="120" w:line="276" w:lineRule="auto"/>
        <w:ind w:firstLine="720"/>
        <w:jc w:val="both"/>
      </w:pPr>
      <w:r>
        <w:t xml:space="preserve">2. Đơn vị sự nghiệp công lập tự bảo đảm một phần chi thường xuyên: </w:t>
      </w:r>
    </w:p>
    <w:p w14:paraId="1E7F56FC">
      <w:pPr>
        <w:spacing w:before="120" w:line="276" w:lineRule="auto"/>
        <w:ind w:firstLine="720"/>
        <w:jc w:val="both"/>
      </w:pPr>
      <w:r>
        <w:t xml:space="preserve">a) Phân bổ theo chỉ tiêu biên chế ngân sách nhà nước đảm bảo được cấp có thẩm quyền giao và các quy định hiện hành về tiền lương, tiền thưởng, phụ cấp và các khoản đóng góp theo lương theo quy định; </w:t>
      </w:r>
      <w:r>
        <w:rPr>
          <w:u w:val="single"/>
        </w:rPr>
        <w:t>đối với biên chế kế hoạch ngân sách nhà nước đảm bảo chưa tuyển dụng, hệ số lương tính dự toán bằng hệ số khởi điểm của viên chức theo quy định;</w:t>
      </w:r>
    </w:p>
    <w:p w14:paraId="49149767">
      <w:pPr>
        <w:spacing w:before="120" w:line="276" w:lineRule="auto"/>
        <w:ind w:firstLine="720"/>
        <w:jc w:val="both"/>
      </w:pPr>
      <w:r>
        <w:t>b) Ngân sách nhà nước hỗ trợ chi thường xuyên sau khi đơn vị đã sử dụng nguồn thu sự nghiệp và nguồn thu phí được để lại chi để thực hiện nhiệm vụ, cung ứng dịch vụ sự nghiệp công chưa tính đủ chi phí; định mức phân bổ chi thường xuyên được áp dụng tối đa bằng 90% định mức chi thường xuyên quy định tại khoản 2 Điều 9 Nghị quyết này (đối với số biên chế ngân sách nhà nước đảm bảo kinh phí được cấp có thẩm quyền quyết định).</w:t>
      </w:r>
    </w:p>
    <w:p w14:paraId="0A11D1B5">
      <w:pPr>
        <w:spacing w:before="120" w:line="276" w:lineRule="auto"/>
        <w:ind w:firstLine="720"/>
        <w:jc w:val="both"/>
      </w:pPr>
      <w:r>
        <w:t xml:space="preserve">3. Đơn vị sự nghiệp công lập do ngân sách nhà nước đảm bảo chi thường xuyên: </w:t>
      </w:r>
    </w:p>
    <w:p w14:paraId="24A27E5B">
      <w:pPr>
        <w:spacing w:before="120" w:line="276" w:lineRule="auto"/>
        <w:ind w:firstLine="720"/>
        <w:jc w:val="both"/>
      </w:pPr>
      <w:r>
        <w:t xml:space="preserve">a) Phân bổ theo chỉ tiêu biên chế được cấp có thẩm quyền giao và các quy định hiện hành về tiền lương, tiền thưởng, phụ cấp và các khoản đóng góp theo lương theo quy định; </w:t>
      </w:r>
      <w:r>
        <w:rPr>
          <w:u w:val="single"/>
        </w:rPr>
        <w:t>đối với biên chế kế hoạch chưa tuyển dụng, hệ số lương tính dự toán bằng hệ số khởi điểm của viên chức theo quy định;</w:t>
      </w:r>
    </w:p>
    <w:p w14:paraId="5DA9E28B">
      <w:pPr>
        <w:spacing w:before="120" w:line="276" w:lineRule="auto"/>
        <w:ind w:firstLine="720"/>
        <w:jc w:val="both"/>
      </w:pPr>
      <w:r>
        <w:t>b) Định mức phân bổ chi thường xuyên được áp dụng tối đa bằng 90% định mức chi thường xuyên quy định tại khoản 2 Điều 9 Nghị quyết này.</w:t>
      </w:r>
    </w:p>
    <w:p w14:paraId="3EAE56C5">
      <w:pPr>
        <w:spacing w:before="120" w:line="276" w:lineRule="auto"/>
        <w:ind w:firstLine="720"/>
        <w:jc w:val="both"/>
      </w:pPr>
      <w:r>
        <w:t>Riêng đối với các đơn vị sự nghiệp y tế, định mức nêu trên đã bao gồm kinh phí thực hiện chế độ phụ cấp đặc thù trong lĩnh vực y tế quy định tại Nghị định số 192/2026/NĐ-CP ngày 30/5/2026 của Chính phủ.</w:t>
      </w:r>
    </w:p>
    <w:p w14:paraId="651C44DA">
      <w:pPr>
        <w:spacing w:before="120" w:line="276" w:lineRule="auto"/>
        <w:ind w:firstLine="720"/>
        <w:jc w:val="both"/>
      </w:pPr>
      <w:r>
        <w:t>4. Bổ sung thêm kinh phí thực hiện các nhiệm vụ được Ủy ban nhân dân tỉnh giao (hoặc đặt hàng);</w:t>
      </w:r>
    </w:p>
    <w:p w14:paraId="4A64C730">
      <w:pPr>
        <w:spacing w:before="120" w:line="276" w:lineRule="auto"/>
        <w:jc w:val="both"/>
      </w:pPr>
      <w:r>
        <w:tab/>
      </w:r>
      <w:r>
        <w:t>5. Ngân sách nhà nước giảm cấp chi thường xuyên cho các đơn vị sự nghiệp công lập đối với các khoản chi đã được kết cấu vào giá dịch vụ theo lộ trình điều chỉnh giá dịch vụ của từng lĩnh vực sự nghiệp công;</w:t>
      </w:r>
    </w:p>
    <w:p w14:paraId="263B247F">
      <w:pPr>
        <w:spacing w:before="120" w:line="276" w:lineRule="auto"/>
        <w:ind w:firstLine="720"/>
        <w:jc w:val="both"/>
      </w:pPr>
      <w:r>
        <w:t>6. Bố trí, hỗ trợ kinh phí thực hiện các đề án, chế độ, chính sách và đối ứng các chương trình, dự án theo quy định; kinh phí tăng cường cơ sở vật chất và thực hiện các nhiệm vụ trọng tâm khác của tỉnh, phù hợp với khả năng cân đối ngân sách.</w:t>
      </w:r>
    </w:p>
    <w:p w14:paraId="5CBEEFD9">
      <w:pPr>
        <w:spacing w:before="120" w:line="276" w:lineRule="auto"/>
        <w:ind w:firstLine="720"/>
        <w:jc w:val="both"/>
      </w:pPr>
      <w:bookmarkStart w:id="23" w:name="dieu_14"/>
      <w:r>
        <w:rPr>
          <w:b/>
          <w:bCs/>
        </w:rPr>
        <w:t xml:space="preserve">Điều 12. Định mức chi </w:t>
      </w:r>
      <w:bookmarkEnd w:id="23"/>
      <w:r>
        <w:rPr>
          <w:b/>
        </w:rPr>
        <w:t>sự nghiệp khoa học, công nghệ, đổi mới sáng tạo và chuyển đổi số:</w:t>
      </w:r>
      <w:r>
        <w:t xml:space="preserve"> </w:t>
      </w:r>
    </w:p>
    <w:p w14:paraId="37DB4CBA">
      <w:pPr>
        <w:spacing w:before="120" w:line="276" w:lineRule="auto"/>
        <w:ind w:firstLine="720"/>
        <w:jc w:val="both"/>
      </w:pPr>
      <w:r>
        <w:t xml:space="preserve">Thực hiện theo quy định của pháp luật về ngân sách nhà nước, pháp luật về khoa học, công nghệ và đổi mới sáng tạo, pháp luật về chuyển đổi số và quy định khác của pháp luật có liên quan. </w:t>
      </w:r>
    </w:p>
    <w:p w14:paraId="78FF7BB5">
      <w:pPr>
        <w:spacing w:before="120" w:line="276" w:lineRule="auto"/>
        <w:ind w:firstLine="720"/>
        <w:jc w:val="both"/>
      </w:pPr>
      <w:bookmarkStart w:id="24" w:name="dieu_15"/>
      <w:r>
        <w:rPr>
          <w:b/>
          <w:bCs/>
        </w:rPr>
        <w:t>Điều 13. Chi quốc phòng, an ninh</w:t>
      </w:r>
      <w:bookmarkEnd w:id="24"/>
    </w:p>
    <w:p w14:paraId="0E1173BE">
      <w:pPr>
        <w:spacing w:before="120" w:line="276" w:lineRule="auto"/>
        <w:ind w:firstLine="720"/>
        <w:jc w:val="both"/>
      </w:pPr>
      <w:r>
        <w:t>Bố trí, hỗ trợ ngân sách địa phương thực hiện các nhiệm vụ quốc phòng, an ninh theo phân cấp; kinh phí thực hiện các đề án, chính sách theo quy định và thực hiện các nhiệm vụ trọng tâm khác của tỉnh, phù hợp với khả năng cân đối ngân sách.</w:t>
      </w:r>
    </w:p>
    <w:p w14:paraId="41023997">
      <w:pPr>
        <w:spacing w:before="120" w:line="276" w:lineRule="auto"/>
        <w:ind w:firstLine="720"/>
        <w:jc w:val="center"/>
        <w:rPr>
          <w:b/>
          <w:bCs/>
          <w:sz w:val="26"/>
          <w:szCs w:val="26"/>
        </w:rPr>
      </w:pPr>
      <w:bookmarkStart w:id="25" w:name="muc_3_3"/>
      <w:r>
        <w:rPr>
          <w:b/>
          <w:bCs/>
        </w:rPr>
        <w:t xml:space="preserve">Mục 2. </w:t>
      </w:r>
      <w:r>
        <w:rPr>
          <w:b/>
          <w:bCs/>
          <w:sz w:val="26"/>
          <w:szCs w:val="26"/>
        </w:rPr>
        <w:t xml:space="preserve">TIÊU CHÍ, ĐỊNH MỨC PHÂN BỔ DỰ TOÁN CHI THƯỜNG XUYÊN NGÂN SÁCH NHÀ NƯỚC CHO CẤP XÃ </w:t>
      </w:r>
      <w:bookmarkEnd w:id="25"/>
    </w:p>
    <w:p w14:paraId="7109797D">
      <w:pPr>
        <w:spacing w:before="120" w:line="276" w:lineRule="auto"/>
        <w:ind w:firstLine="720"/>
        <w:jc w:val="both"/>
      </w:pPr>
      <w:r>
        <w:rPr>
          <w:b/>
        </w:rPr>
        <w:t xml:space="preserve">Điều 14. </w:t>
      </w:r>
      <w:r>
        <w:t>Tiêu chí dân số là tiêu chí chính được áp dụng để thực hiện phân bổ dự toán chi thường xuyên cho ngân sách cấp xã. Tiêu chí dân số được chia thành 04 vùng: vùng đặc biệt khó khăn, vùng khó khăn, vùng đô thị và vùng khác còn lại. Trong đó:</w:t>
      </w:r>
    </w:p>
    <w:p w14:paraId="3B06CDB8">
      <w:pPr>
        <w:spacing w:before="120" w:line="276" w:lineRule="auto"/>
        <w:ind w:firstLine="720"/>
        <w:jc w:val="both"/>
      </w:pPr>
      <w:bookmarkStart w:id="26" w:name="dieu_29"/>
      <w:r>
        <w:t>1. Vùng đặc biệt khó khăn, gồm: Dân số thuộc các xã, phường, đặc khu vùng đồng bào dân tộc thiểu số và miền núi khu vực III; thôn đặc biệt khó khăn vùng đồng bào dân tộc thiểu số và miền núi;</w:t>
      </w:r>
    </w:p>
    <w:p w14:paraId="2BCB4397">
      <w:pPr>
        <w:spacing w:before="120" w:line="276" w:lineRule="auto"/>
        <w:ind w:firstLine="720"/>
        <w:jc w:val="both"/>
      </w:pPr>
      <w:r>
        <w:t>2. Vùng khó khăn, gồm: Dân số thuộc các xã, phường, đặc khu vùng đồng bào dân tộc thiểu số và miền núi khu vực II (không bao gồm dân số thuộc các thôn đặc biệt khó khăn vùng đồng bào dân tộc thiểu số và miền núi); dân số thuộc đặc khu không được phân loại là đô thị và dân số thuộc các xã đảo;</w:t>
      </w:r>
    </w:p>
    <w:p w14:paraId="3FFFA070">
      <w:pPr>
        <w:spacing w:before="120" w:line="276" w:lineRule="auto"/>
        <w:ind w:firstLine="720"/>
        <w:jc w:val="both"/>
      </w:pPr>
      <w:r>
        <w:t>3. Vùng đô thị, gồm: Dân số thuộc các phường (không bao gồm dân số thuộc các phường vùng đồng bào dân tộc thiểu số và miền núi khu vực II, III và các thôn đặc biệt khó khăn vùng đồng bào dân tộc thiểu số và miền núi) và dân số thuộc đặc khu được phân loại là đô thị;</w:t>
      </w:r>
    </w:p>
    <w:p w14:paraId="4FDB3382">
      <w:pPr>
        <w:spacing w:before="120" w:line="276" w:lineRule="auto"/>
        <w:ind w:firstLine="720"/>
        <w:jc w:val="both"/>
      </w:pPr>
      <w:r>
        <w:t>4. Vùng khác còn lại, gồm: Dân số thuộc khu vực còn lại.</w:t>
      </w:r>
    </w:p>
    <w:p w14:paraId="2BD21E8A">
      <w:pPr>
        <w:spacing w:before="120" w:line="276" w:lineRule="auto"/>
        <w:ind w:firstLine="720"/>
        <w:jc w:val="both"/>
      </w:pPr>
      <w:r>
        <w:rPr>
          <w:b/>
          <w:bCs/>
        </w:rPr>
        <w:t>Điều 15. Tiêu chí, định mức phân bổ chi quản lý hành chính</w:t>
      </w:r>
      <w:bookmarkEnd w:id="26"/>
      <w:r>
        <w:t xml:space="preserve"> </w:t>
      </w:r>
      <w:r>
        <w:rPr>
          <w:b/>
          <w:bCs/>
        </w:rPr>
        <w:t>các cơ quan nhà nước, đảng, đoàn thể, tổ chức chính trị xã hội, sự nghiệp xã hội, sự nghiệp khác (không bao gồm các sự nghiệp quy định từ Điều 17 đến Điều 22 Mục này)</w:t>
      </w:r>
    </w:p>
    <w:p w14:paraId="35A51A2C">
      <w:pPr>
        <w:spacing w:before="120" w:line="276" w:lineRule="auto"/>
        <w:ind w:firstLine="720"/>
        <w:jc w:val="both"/>
      </w:pPr>
      <w:r>
        <w:t>1. Chi tiền lương, phụ cấp và các khoản có tính chất lương:</w:t>
      </w:r>
    </w:p>
    <w:p w14:paraId="62197720">
      <w:pPr>
        <w:spacing w:before="120" w:line="276" w:lineRule="auto"/>
        <w:ind w:firstLine="720"/>
        <w:jc w:val="both"/>
      </w:pPr>
      <w:r>
        <w:t xml:space="preserve">Phân bổ theo chỉ tiêu biên chế được cấp có thẩm quyền giao và các quy định hiện hành về tiền lương, tiền thưởng, phụ cấp và các khoản đóng góp theo lương theo quy định. </w:t>
      </w:r>
    </w:p>
    <w:p w14:paraId="5E1D9DA3">
      <w:pPr>
        <w:spacing w:before="120" w:line="276" w:lineRule="auto"/>
        <w:ind w:firstLine="720"/>
        <w:jc w:val="both"/>
      </w:pPr>
      <w:r>
        <w:t>2. Định mức phân bổ chi quản lý hành chính theo tiêu chí dân số: vùng đặc biệt khó khăn là 119.700 đồng/người dân; vùng khó khăn là 98.000 đồng/người dân; vùng đô thị là 72.100 đồng/người dân; vùng khác còn lại 66.500 đồng/người dân.</w:t>
      </w:r>
    </w:p>
    <w:p w14:paraId="1567929B">
      <w:pPr>
        <w:spacing w:before="120" w:line="276" w:lineRule="auto"/>
        <w:ind w:firstLine="720"/>
        <w:jc w:val="both"/>
      </w:pPr>
      <w:r>
        <w:t>3. Phân bổ theo tiêu chí bổ sung</w:t>
      </w:r>
    </w:p>
    <w:p w14:paraId="73002EC8">
      <w:pPr>
        <w:spacing w:before="120" w:line="276" w:lineRule="auto"/>
        <w:ind w:firstLine="720"/>
        <w:jc w:val="both"/>
      </w:pPr>
      <w:r>
        <w:t xml:space="preserve">a) Bổ sung mức 1.000 triệu đồng/đơn vị hành chính cấp xã để hỗ trợ Trung tâm phục vụ hành chính công; </w:t>
      </w:r>
    </w:p>
    <w:p w14:paraId="1A3CD858">
      <w:pPr>
        <w:spacing w:before="120" w:line="276" w:lineRule="auto"/>
        <w:ind w:firstLine="720"/>
        <w:jc w:val="both"/>
      </w:pPr>
      <w:r>
        <w:t xml:space="preserve">b) Bổ sung mức 2.450 triệu đồng/xã, phường. </w:t>
      </w:r>
    </w:p>
    <w:p w14:paraId="28636722">
      <w:pPr>
        <w:spacing w:before="120" w:line="276" w:lineRule="auto"/>
        <w:ind w:firstLine="720"/>
        <w:jc w:val="both"/>
      </w:pPr>
      <w:r>
        <w:t xml:space="preserve">4. Trên cơ sở định mức quy định tại khoản 2, điểm b khoản 3 Điều này, trường hợp chi quản lý hành chính nhà nước, đảng, đoàn thể… chưa đảm bảo đủ </w:t>
      </w:r>
      <w:r>
        <w:rPr>
          <w:u w:val="single"/>
        </w:rPr>
        <w:t>định mức quy định tại khoản 2 Điều 9 Nghị quyết này</w:t>
      </w:r>
      <w:r>
        <w:t>, được bổ sung đảm bảo theo quy định.</w:t>
      </w:r>
    </w:p>
    <w:p w14:paraId="3A582652">
      <w:pPr>
        <w:spacing w:before="120" w:line="276" w:lineRule="auto"/>
        <w:ind w:firstLine="720"/>
        <w:jc w:val="both"/>
      </w:pPr>
      <w:r>
        <w:t>5. Định mức chi thường xuyên trên đã bao gồm:</w:t>
      </w:r>
    </w:p>
    <w:p w14:paraId="729966EE">
      <w:pPr>
        <w:spacing w:before="120" w:line="276" w:lineRule="auto"/>
        <w:ind w:firstLine="720"/>
        <w:jc w:val="both"/>
      </w:pPr>
      <w:r>
        <w:t xml:space="preserve">a) Các khoản chi thường xuyên phục vụ hoạt động bộ máy các cơ quan: Khen thưởng theo chế độ, phúc lợi tập thể; thông tin, tuyên truyền, liên lạc; công tác phí, hội nghị, tổng kết; đoàn ra, đoàn vào; vật tư văn phòng, thanh toán dịch vụ công cộng; vận hành trụ sở cơ quan; chi hỗ trợ hoạt động cho công tác Đảng, đoàn thể trong cơ quan; </w:t>
      </w:r>
      <w:r>
        <w:rPr>
          <w:lang w:val="vi-VN"/>
        </w:rPr>
        <w:t>kinh phí hoạt động của Ban Thanh tra nhân dân cấp xã theo quy định tại Thông tư số 04/2025/TT-BTC ngày 24/01/2025 của Bộ trưởng Bộ Tài chính</w:t>
      </w:r>
      <w:r>
        <w:t>;</w:t>
      </w:r>
    </w:p>
    <w:p w14:paraId="33B44E28">
      <w:pPr>
        <w:spacing w:before="120" w:line="276" w:lineRule="auto"/>
        <w:ind w:firstLine="720"/>
        <w:jc w:val="both"/>
      </w:pPr>
      <w:r>
        <w:t>b) Các khoản chi nghiệp vụ mang tính thường xuyên phát sinh hằng năm: Chi nghiệp vụ chuyên môn quản lý ngành, lĩnh vực; tập huấn, tuyên truyền, phổ biến văn bản quy phạm pháp luật; chi hoạt động kiểm tra, giám sát; chi nhiệm vụ lưu trữ thường xuyên hằng năm;</w:t>
      </w:r>
    </w:p>
    <w:p w14:paraId="6CB3B079">
      <w:pPr>
        <w:spacing w:before="120" w:line="276" w:lineRule="auto"/>
        <w:ind w:firstLine="720"/>
        <w:jc w:val="both"/>
      </w:pPr>
      <w:r>
        <w:t xml:space="preserve">c) Chi tiền lương, tiền công lao động và chi hoạt động cho các đối tượng hợp đồng lao động làm công việc thừa hành, phục vụ theo quy định tại Nghị định số 111/2022/NĐ-CP </w:t>
      </w:r>
      <w:r>
        <w:rPr>
          <w:u w:val="single"/>
        </w:rPr>
        <w:t>và các quy định pháp luật có liên quan</w:t>
      </w:r>
      <w:r>
        <w:t xml:space="preserve">; </w:t>
      </w:r>
      <w:r>
        <w:rPr>
          <w:lang w:val="vi-VN"/>
        </w:rPr>
        <w:t>hỗ trợ cán bộ làm công tác cơ yếu</w:t>
      </w:r>
      <w:r>
        <w:t>.</w:t>
      </w:r>
    </w:p>
    <w:p w14:paraId="67A03BE6">
      <w:pPr>
        <w:spacing w:before="120" w:line="276" w:lineRule="auto"/>
        <w:ind w:firstLine="720"/>
        <w:jc w:val="both"/>
      </w:pPr>
      <w:r>
        <w:t xml:space="preserve">d) Kinh phí bảo dưỡng, bảo trì, sửa chữa thường xuyên các công trình cơ sở hạ tầng, tài sản phục vụ công tác chuyên môn; kinh phí mua sắm, thay thế tài sản, máy móc, trang thiết bị văn phòng phổ biến của cơ quan, tổ chức, đơn vị theo quy định; kinh phí thuê dịch vụ phục vụ công tác chuyên môn thường xuyên của cán bộ, công chức theo quy định; </w:t>
      </w:r>
      <w:r>
        <w:rPr>
          <w:lang w:val="vi-VN"/>
        </w:rPr>
        <w:t>kinh phí thực hiện các nhiệm vụ phát sinh khác theo phân cấp ngân sách hiện hành</w:t>
      </w:r>
      <w:r>
        <w:t>.</w:t>
      </w:r>
    </w:p>
    <w:p w14:paraId="2937E5DC">
      <w:pPr>
        <w:spacing w:before="120" w:line="276" w:lineRule="auto"/>
        <w:ind w:firstLine="720"/>
        <w:jc w:val="both"/>
      </w:pPr>
      <w:r>
        <w:t>6. Trên cơ sở biên chế được cơ quan có thẩm quyền giao và mức chi thường xuyên theo định mức phân bổ, khuyến khích các địa phương thực hiện tinh giản biên chế, tiết kiệm chi tiêu để tăng thu nhập cho cán bộ, công chức và tăng chi cho các nhiệm vụ trọng tâm của cơ quan, đơn vị.</w:t>
      </w:r>
    </w:p>
    <w:p w14:paraId="167D1E3D">
      <w:pPr>
        <w:spacing w:before="120" w:line="276" w:lineRule="auto"/>
        <w:ind w:firstLine="720"/>
        <w:jc w:val="both"/>
      </w:pPr>
      <w:r>
        <w:t xml:space="preserve">7. Bổ sung kinh phí thực hiện các chính sách do cấp có thẩm quyền ban hành: chi hoạt động của Hội đồng nhân dân cấp xã theo Nghị quyết của Hội đồng nhân dân tỉnh; kinh phí chi hoạt động công tác Đảng của tổ chức Đảng theo Quyết định số 99-QĐ/TW ngày 30/5/2012 của Ban Bí thư trung ương Đảng; chính sách cho người làm công tác tôn giáo theo Nghị quyết của HĐND tỉnh; kinh phí thực hiện mức phụ cấp đối với cán bộ không chuyên trách thôn, tổ dân phố theo quy định tại Nghị định số 185/2025/NĐ-CP và Nghị quyết số </w:t>
      </w:r>
      <w:r>
        <w:rPr>
          <w:lang w:val="vi-VN"/>
        </w:rPr>
        <w:t xml:space="preserve">03/2026/NQ-HĐND </w:t>
      </w:r>
      <w:r>
        <w:t>ngày</w:t>
      </w:r>
      <w:r>
        <w:rPr>
          <w:lang w:val="vi-VN"/>
        </w:rPr>
        <w:t xml:space="preserve"> 19/6/2026</w:t>
      </w:r>
      <w:r>
        <w:t xml:space="preserve"> của HĐND tỉnh; kinh phí phụ cấp đại biểu Hội đồng nhân dân cấp xã; kinh phí để chi chế độ phụ cấp trách nhiệm đối với cấp ủy viên theo quy định </w:t>
      </w:r>
    </w:p>
    <w:p w14:paraId="083914D3">
      <w:pPr>
        <w:spacing w:before="120" w:line="276" w:lineRule="auto"/>
        <w:ind w:firstLine="720"/>
        <w:jc w:val="both"/>
      </w:pPr>
      <w:r>
        <w:t>8. Bố trí, hỗ trợ thêm kinh phí chi một số nhiệm vụ không thường xuyên, kinh phí thực hiện các chế độ, chính sách và các nhiệm vụ khác theo quy định, phù hợp với khả năng cân đối ngân sách.</w:t>
      </w:r>
    </w:p>
    <w:p w14:paraId="57B7A9D1">
      <w:pPr>
        <w:spacing w:before="120" w:line="276" w:lineRule="auto"/>
        <w:ind w:firstLine="720"/>
        <w:jc w:val="both"/>
        <w:rPr>
          <w:b/>
        </w:rPr>
      </w:pPr>
      <w:r>
        <w:rPr>
          <w:b/>
        </w:rPr>
        <w:t>Điều 16. Tiêu chí, định mức phân bổ chi sự nghiệp giáo dục, đào tạo</w:t>
      </w:r>
    </w:p>
    <w:p w14:paraId="2A536FA7">
      <w:pPr>
        <w:pStyle w:val="15"/>
        <w:numPr>
          <w:ilvl w:val="0"/>
          <w:numId w:val="1"/>
        </w:numPr>
        <w:spacing w:before="120" w:line="276" w:lineRule="auto"/>
        <w:jc w:val="both"/>
      </w:pPr>
      <w:r>
        <w:t>Tiêu chí, định mức phân bổ chi sự nghiệp giáo dục:</w:t>
      </w:r>
    </w:p>
    <w:p w14:paraId="47CC08E5">
      <w:pPr>
        <w:spacing w:before="120" w:line="276" w:lineRule="auto"/>
        <w:ind w:firstLine="720"/>
        <w:jc w:val="both"/>
        <w:rPr>
          <w:u w:val="single"/>
        </w:rPr>
      </w:pPr>
      <w:r>
        <w:t>a) Chi tiền lương, phụ cấp và các khoản có tính chất lương: phân bổ theo chỉ tiêu biên chế được cấp có thẩm quyền giao và các quy định hiện hành về tiền lương, tiền thưởng, phụ cấp và các khoản đóng góp theo lương theo quy định; đối với biên chế kế hoạch chưa tuyển dụng, hệ số lương tính dự toán bằng hệ số khởi điểm của bậc học.</w:t>
      </w:r>
    </w:p>
    <w:p w14:paraId="005B1B54">
      <w:pPr>
        <w:spacing w:before="120" w:line="276" w:lineRule="auto"/>
        <w:ind w:firstLine="720"/>
        <w:jc w:val="both"/>
      </w:pPr>
      <w:r>
        <w:t>b) Định mức phân bổ theo tiêu chí dân số trong độ tuổi đến trường (từ 01 đến 18 tuổi): Vùng đặc biệt khó khăn là 5.448.300 đồng/người dân; vùng khó khăn là 3.813.700 đồng/người dân; vùng đô thị là 2.315.500 đồng/người dân; vùng khác còn lại 2.724.150 đồng/người dân.</w:t>
      </w:r>
    </w:p>
    <w:p w14:paraId="1CF6DBE7">
      <w:pPr>
        <w:spacing w:before="120" w:line="276" w:lineRule="auto"/>
        <w:ind w:firstLine="720"/>
        <w:jc w:val="both"/>
      </w:pPr>
      <w:r>
        <w:t xml:space="preserve">c) Định mức phân bổ tại điểm b khoản này đã bao gồm: tính đủ cho các cấp giáo dục, các loại hình giáo dục; chế độ học bổng cho học sinh dân tộc nội trú; chính sách ưu tiên đối với lĩnh vực giáo dục đã ban hành; </w:t>
      </w:r>
      <w:r>
        <w:rPr>
          <w:u w:val="single"/>
        </w:rPr>
        <w:t>chi khen thưởng theo chế độ; chi thực hiện các nhiệm vụ chung của ngành</w:t>
      </w:r>
      <w:r>
        <w:t xml:space="preserve">; </w:t>
      </w:r>
      <w:r>
        <w:rPr>
          <w:u w:val="single"/>
        </w:rPr>
        <w:t>chi thực hiện nâng hệ số lương, phụ cấp theo quy định; chi trả phụ cấp ưu đãi cho giáo viên dạy học sinh khuyết tật (nếu có);</w:t>
      </w:r>
      <w:r>
        <w:t xml:space="preserve"> chế độ bồi dưỡng và chế độ trang phục đối với giáo viên thể dục thể thao theo Quyết định số 51/2012/QĐ-TTg ngày 16/11/2012 của Thủ tướng Chính phủ; kinh phí hỗ trợ Trung tâm học tập cộng đồng theo Quyết định số 06/2020/QĐ-UBND ngày 25/02/2020 của UBND tỉnh.</w:t>
      </w:r>
    </w:p>
    <w:p w14:paraId="23D0FC50">
      <w:pPr>
        <w:spacing w:before="120" w:line="276" w:lineRule="auto"/>
        <w:ind w:firstLine="720"/>
        <w:jc w:val="both"/>
      </w:pPr>
      <w:r>
        <w:t xml:space="preserve">d) Trên cơ sở định mức quy định tại điểm b khoản này, trường hợp tỷ lệ chi cho hoạt động giảng dạy và học tập (không bao gồm tiền lương, phụ cấp và các khoản đóng góp theo lương) so với tổng chi sự nghiệp giáo dục nhỏ hơn 19%, được bổ sung để bảo đảm tỷ lệ này tối thiểu là 19%, tỷ lệ chi tiền lương, phụ cấp, các khoản có tính chất lương (bảo hiểm xã hội, bảo hiểm y tế, bảo hiểm thất nghiệp, học bổng cho học sinh dân tộc nội trú) tối đa là 81% (chưa bao gồm chi từ nguồn thu học phí); </w:t>
      </w:r>
    </w:p>
    <w:p w14:paraId="1DED304A">
      <w:pPr>
        <w:spacing w:before="120" w:line="276" w:lineRule="auto"/>
        <w:ind w:firstLine="720"/>
        <w:jc w:val="both"/>
      </w:pPr>
      <w:r>
        <w:t xml:space="preserve">đ) Phân bổ theo tiêu chí bổ sung kinh phí ngân sách nhà nước thực hiện các chính sách do cơ quan có thẩm quyền ban hành, gồm: chính sách hỗ trợ học bổng và phương tiện, đồ dùng học tập cho học sinh khuyết tật; chính sách cho học sinh, học viên ở vùng đồng bào dân tộc thiểu số và miền núi, vùng bãi ngang, ven biển và hải đảo và cơ sở giáo dục có học sinh hưởng chính sách; </w:t>
      </w:r>
    </w:p>
    <w:p w14:paraId="3757C922">
      <w:pPr>
        <w:spacing w:before="120" w:line="276" w:lineRule="auto"/>
        <w:ind w:firstLine="720"/>
        <w:jc w:val="both"/>
      </w:pPr>
      <w:r>
        <w:t xml:space="preserve">e) Hỗ trợ kinh phí chi trả tiền công cho hợp đồng lao động thực hiện nhiệm vụ chuyên môn theo </w:t>
      </w:r>
      <w:r>
        <w:rPr>
          <w:u w:val="single"/>
        </w:rPr>
        <w:t>quy định tại điểm đ khoản 2 Điều 6 Nghị định số 135/2026/NĐ-CP</w:t>
      </w:r>
      <w:r>
        <w:t xml:space="preserve"> trên cơ sở chỉ tiêu của cấp có thẩm quyền giao;</w:t>
      </w:r>
    </w:p>
    <w:p w14:paraId="6092AE9F">
      <w:pPr>
        <w:spacing w:before="120" w:line="276" w:lineRule="auto"/>
        <w:ind w:firstLine="720"/>
        <w:jc w:val="both"/>
      </w:pPr>
      <w:r>
        <w:t>f) Hỗ trợ, bổ sung có mục tiêu kinh phí thực hiện các đề án, chính sách do cấp có thẩm quyền ban hành; hỗ trợ tăng cường cơ sở vật chất và thực hiện các nhiệm vụ khác của ngành theo khả năng cân đối ngân sách địa phương.</w:t>
      </w:r>
    </w:p>
    <w:p w14:paraId="2267B27B">
      <w:pPr>
        <w:spacing w:before="120" w:line="276" w:lineRule="auto"/>
        <w:ind w:firstLine="720"/>
        <w:jc w:val="both"/>
      </w:pPr>
      <w:r>
        <w:t>3. Tiêu chí, định mức phân bổ chi sự nghiệp đào tạo:</w:t>
      </w:r>
    </w:p>
    <w:p w14:paraId="36907F90">
      <w:pPr>
        <w:pStyle w:val="15"/>
        <w:numPr>
          <w:ilvl w:val="0"/>
          <w:numId w:val="2"/>
        </w:numPr>
        <w:spacing w:before="120" w:line="276" w:lineRule="auto"/>
        <w:jc w:val="both"/>
      </w:pPr>
      <w:r>
        <w:t>Chi tiền lương, phụ cấp và các khoản có tính chất lương:</w:t>
      </w:r>
    </w:p>
    <w:p w14:paraId="06206CED">
      <w:pPr>
        <w:spacing w:before="120" w:line="276" w:lineRule="auto"/>
        <w:ind w:firstLine="720"/>
        <w:jc w:val="both"/>
        <w:rPr>
          <w:u w:val="single"/>
        </w:rPr>
      </w:pPr>
      <w:r>
        <w:t>Phân bổ theo chỉ tiêu biên chế được cấp có thẩm quyền giao (đối với chỉ tiêu do ngân sách nhà nước đảm bảo) và các quy định hiện hành về tiền lương, tiền thưởng, phụ cấp và các khoản đóng góp theo lương theo quy định; đối với biên chế kế hoạch chưa tuyển dụng, hệ số lương tính dự toán bằng hệ số khởi điểm của vị trí việc làm tương ứng.</w:t>
      </w:r>
    </w:p>
    <w:p w14:paraId="7DB419CD">
      <w:pPr>
        <w:spacing w:before="120" w:line="276" w:lineRule="auto"/>
        <w:ind w:firstLine="720"/>
        <w:jc w:val="both"/>
      </w:pPr>
      <w:r>
        <w:t>b) Phân bổ theo tiêu chí bổ sung: hỗ trợ chi hoạt động cho Trung tâm chính trị cấp xã tối đa 220 triệu đồng/năm.</w:t>
      </w:r>
    </w:p>
    <w:p w14:paraId="3859234F">
      <w:pPr>
        <w:spacing w:before="120" w:line="276" w:lineRule="auto"/>
        <w:jc w:val="both"/>
        <w:rPr>
          <w:b/>
        </w:rPr>
      </w:pPr>
      <w:r>
        <w:tab/>
      </w:r>
      <w:r>
        <w:rPr>
          <w:b/>
        </w:rPr>
        <w:t xml:space="preserve">Điều 17. Tiêu chí, định mức phân bổ: chi sự nghiệp y tế, dân số và gia đình; chi đảm bảo xã hội: </w:t>
      </w:r>
    </w:p>
    <w:p w14:paraId="76F1B98C">
      <w:pPr>
        <w:spacing w:before="120" w:line="276" w:lineRule="auto"/>
        <w:ind w:firstLine="502"/>
        <w:jc w:val="both"/>
      </w:pPr>
      <w:r>
        <w:t>1. Định mức, tiêu chí phân bổ chi sự nghiệp y tế, dân số và gia đình</w:t>
      </w:r>
    </w:p>
    <w:p w14:paraId="43A43516">
      <w:pPr>
        <w:spacing w:before="120" w:line="276" w:lineRule="auto"/>
        <w:ind w:firstLine="502"/>
        <w:jc w:val="both"/>
      </w:pPr>
      <w:r>
        <w:t>a) Chi tiền lương, phụ cấp và các khoản có tính chất lương: phân bổ theo chỉ tiêu biên chế được cấp có thẩm quyền giao và các quy định hiện hành về tiền lương, tiền thưởng, phụ cấp và các khoản đóng góp theo lương theo quy định; đối với biên chế kế hoạch chưa tuyển dụng, hệ số lương tính dự toán bằng hệ số khởi điểm của viên chức theo quy định.</w:t>
      </w:r>
    </w:p>
    <w:p w14:paraId="5751A6A3">
      <w:pPr>
        <w:spacing w:before="120" w:line="276" w:lineRule="auto"/>
        <w:ind w:firstLine="502"/>
        <w:jc w:val="both"/>
      </w:pPr>
      <w:r>
        <w:t>b) Định mức phân bổ theo tiêu chí dân số: Vùng đặc biệt khó khăn là 159.000 đồng/người dân; vùng khó khăn là 113.000 đồng/người dân; vùng đô thị là 62.000 đồng/người dân; vùng khác còn lại 84.000 đồng/người dân.</w:t>
      </w:r>
    </w:p>
    <w:p w14:paraId="65334807">
      <w:pPr>
        <w:spacing w:before="120" w:line="276" w:lineRule="auto"/>
        <w:ind w:firstLine="502"/>
        <w:jc w:val="both"/>
      </w:pPr>
      <w:r>
        <w:t>c) Phân bổ theo tiêu chí bổ sung kinh phí ngân sách nhà nước đóng hoặc hỗ trợ đóng bảo hiểm y tế cho các đối tượng theo quy định của pháp luật về bảo hiểm y tế và phân cấp quản lý được cấp có thẩm quyền quy định: người nghèo; cựu chiến binh, thanh niên xung phong; dân công hoả tuyến; đối tượng hưởng trợ cấp bảo trợ xã hội; trợ cấp hưu trí xã hội; người hiến tạng.</w:t>
      </w:r>
    </w:p>
    <w:p w14:paraId="6252B3E6">
      <w:pPr>
        <w:spacing w:before="120" w:line="276" w:lineRule="auto"/>
        <w:ind w:firstLine="502"/>
        <w:jc w:val="both"/>
      </w:pPr>
      <w:r>
        <w:t>d) Hỗ trợ kinh phí thực hiện các đề án, chính sách cấp có thẩm quyền quy định.</w:t>
      </w:r>
    </w:p>
    <w:p w14:paraId="3419BD89">
      <w:pPr>
        <w:spacing w:before="120" w:line="276" w:lineRule="auto"/>
        <w:jc w:val="both"/>
      </w:pPr>
      <w:r>
        <w:tab/>
      </w:r>
      <w:r>
        <w:t xml:space="preserve">đ) Định mức quy định tại điểm b khoản này đã bao gồm kinh phí thực hiện các nhiệm vụ phục vụ hoạt động của Trạm y tế cấp xã; các khoản chi nghiệp vụ phục vụ nhiệm vụ chuyên môn quản lý ngành; chi thực hiện chế độ phụ cấp đặc thù trong lĩnh vực y tế quy định tại Nghị định số 192/2026/NĐ-CP ngày 30/5/2026 của Chính phủ; </w:t>
      </w:r>
      <w:r>
        <w:rPr>
          <w:u w:val="single"/>
        </w:rPr>
        <w:t>nâng hệ số lương, phụ cấp theo quy định</w:t>
      </w:r>
      <w:r>
        <w:t xml:space="preserve">; </w:t>
      </w:r>
      <w:r>
        <w:rPr>
          <w:lang w:val="vi-VN"/>
        </w:rPr>
        <w:t>chính sách dân số và phát triển theo Nghị quyết số 221/2020/NQ-HĐND của HĐND tỉnh; kinh phí thực hiện các nhiệm vụ phát sinh khác theo phân cấp ngân sách hiện hành</w:t>
      </w:r>
    </w:p>
    <w:p w14:paraId="50ED848B">
      <w:pPr>
        <w:spacing w:before="120" w:line="276" w:lineRule="auto"/>
        <w:ind w:firstLine="720"/>
        <w:jc w:val="both"/>
      </w:pPr>
      <w:r>
        <w:rPr>
          <w:bCs/>
        </w:rPr>
        <w:t>2. Tiêu chí, định mức phân bổ chi bảo đảm xã hội</w:t>
      </w:r>
    </w:p>
    <w:p w14:paraId="631EFB84">
      <w:pPr>
        <w:spacing w:before="120" w:line="276" w:lineRule="auto"/>
        <w:ind w:firstLine="720"/>
        <w:jc w:val="both"/>
      </w:pPr>
      <w:r>
        <w:t>a) Phân bổ theo tiêu chí dân số: vùng đặc biệt khó khăn là 33.600 đồng/người dân; vùng khó khăn là 27.900 đồng/người dân; vùng đô thị là 18.300 đồng/người dân; vùng khác còn lại 19.800 đồng/người dân.</w:t>
      </w:r>
    </w:p>
    <w:p w14:paraId="55CC56CA">
      <w:pPr>
        <w:spacing w:before="120" w:line="276" w:lineRule="auto"/>
        <w:jc w:val="both"/>
        <w:rPr>
          <w:strike/>
        </w:rPr>
      </w:pPr>
      <w:r>
        <w:tab/>
      </w:r>
      <w:r>
        <w:t xml:space="preserve">b) Phân bổ theo tiêu chí bổ sung kinh phí thực hiện các chính sách do cơ quan có thẩm quyền ban hành, gồm: Trợ cấp cho các đối tượng bảo trợ xã hội; trợ cấp cho các đối tượng hưu trí xã hội; hỗ trợ tiền điện cho hộ nghèo, hộ chính sách xã hội; Trợ cấp hàng tháng đối với cán bộ xã, phường già yếu đã nghỉ việc theo Quy định số 130-CP và các quy định hiện hành; kinh phí thực hiện Nghị quyết số 182/2025/NQ-HDND ngày 10/12/2025 của HĐND tỉnh quy định một số chính sách đảm bảo an sinh xã hội trên địa bàn Hà Tĩnh giai đoạn 2026-2030; kinh phí thực hiện chính sách người có công với cách mạng theo quy định của cấp có thẩm quyền; </w:t>
      </w:r>
      <w:r>
        <w:rPr>
          <w:lang w:val="vi-VN"/>
        </w:rPr>
        <w:t>chính sách mai táng phí theo Nghị định số 150/2026/NĐ-CP, Nghị định số 157/2016/NĐ-CP, Quyết định số 290/20025/QĐ-TTg, Quyết định số 62/2011/QĐ-TTg; trợ cấp thanh niên xung phong, trợ cấp lão thành cách mạng theo quy định</w:t>
      </w:r>
      <w:r>
        <w:t>.</w:t>
      </w:r>
    </w:p>
    <w:p w14:paraId="634CA171">
      <w:pPr>
        <w:spacing w:before="120" w:line="276" w:lineRule="auto"/>
        <w:ind w:firstLine="720"/>
        <w:jc w:val="both"/>
        <w:rPr>
          <w:b/>
          <w:bCs/>
        </w:rPr>
      </w:pPr>
      <w:bookmarkStart w:id="27" w:name="dieu_30"/>
      <w:r>
        <w:rPr>
          <w:b/>
          <w:bCs/>
        </w:rPr>
        <w:t>Điều 18. Tiêu chí, định mức phân bổ chi sự nghiệp văn hóa thông</w:t>
      </w:r>
      <w:bookmarkEnd w:id="27"/>
      <w:r>
        <w:rPr>
          <w:b/>
          <w:bCs/>
        </w:rPr>
        <w:t xml:space="preserve"> tin; phát thanh, truyền hình; thể dục, thể thao </w:t>
      </w:r>
    </w:p>
    <w:p w14:paraId="2D02D436">
      <w:pPr>
        <w:spacing w:before="120" w:line="276" w:lineRule="auto"/>
        <w:ind w:firstLine="720"/>
        <w:jc w:val="both"/>
      </w:pPr>
      <w:r>
        <w:rPr>
          <w:bCs/>
        </w:rPr>
        <w:t xml:space="preserve">1. Phân bổ chi sự nghiệp văn hoá thông tin theo tiêu chí dân số: </w:t>
      </w:r>
      <w:r>
        <w:t>vùng đặc biệt khó khăn là 33.600 đồng/người dân; vùng khó khăn là 24.000 đồng/người dân; vùng đô thị là 15.000 đồng/người dân; vùng khác còn lại 17.100 đồng/người dân.</w:t>
      </w:r>
    </w:p>
    <w:p w14:paraId="1337B46A">
      <w:pPr>
        <w:spacing w:before="120" w:line="276" w:lineRule="auto"/>
        <w:ind w:firstLine="720"/>
        <w:jc w:val="both"/>
      </w:pPr>
      <w:r>
        <w:t>2. P</w:t>
      </w:r>
      <w:r>
        <w:rPr>
          <w:bCs/>
        </w:rPr>
        <w:t xml:space="preserve">hân bổ chi sự nghiệp </w:t>
      </w:r>
      <w:r>
        <w:t>phát thanh, truyền hình theo tiêu chí dân số: vùng đặc biệt khó khăn là 20.100 đồng/người dân; vùng khó khăn là 14.400 đồng/người dân; vùng đô thị là 9.300 đồng/người dân; vùng khác còn lại 10.200 đồng/người dân.</w:t>
      </w:r>
    </w:p>
    <w:p w14:paraId="4246DBED">
      <w:pPr>
        <w:spacing w:before="120" w:line="276" w:lineRule="auto"/>
        <w:ind w:firstLine="720"/>
        <w:jc w:val="both"/>
      </w:pPr>
      <w:r>
        <w:t>3. P</w:t>
      </w:r>
      <w:r>
        <w:rPr>
          <w:bCs/>
        </w:rPr>
        <w:t>hân bổ</w:t>
      </w:r>
      <w:r>
        <w:t xml:space="preserve"> chi sự nghiệp thể dục, thể thao theo tiêu chí dân số: vùng đặc biệt khó khăn là 15.600 đồng/người dân; vùng khó khăn là 11.400 đồng/người dân; vùng đô thị là 10.800 đồng/người dân; vùng khác còn lại 8.100 đồng/người dân.</w:t>
      </w:r>
    </w:p>
    <w:p w14:paraId="5C8F8A43">
      <w:pPr>
        <w:spacing w:before="120" w:line="276" w:lineRule="auto"/>
        <w:ind w:firstLine="720"/>
        <w:jc w:val="both"/>
      </w:pPr>
      <w:r>
        <w:t xml:space="preserve">4. Bổ sung kinh phí thực hiện cuộc vận động “Toàn dân đoàn kết xây dựng nông thôn mới, đô thị văn minh” theo quy định tại Thông tư số 121/2017/TT-BTC ngày 15/11/2017 của Bộ trưởng Bộ Tài chính, cụ thể: </w:t>
      </w:r>
    </w:p>
    <w:p w14:paraId="689748C6">
      <w:pPr>
        <w:spacing w:before="120" w:line="276" w:lineRule="auto"/>
        <w:ind w:firstLine="720"/>
        <w:jc w:val="both"/>
      </w:pPr>
      <w:r>
        <w:t>a) Kinh phí bảo đảm thực hiện Cuộc vận động của Uỷ ban Mặt trân Tổ quốc cấp xã mức 25 triệu đồng/năm/xã, phường;</w:t>
      </w:r>
    </w:p>
    <w:p w14:paraId="6498E4D5">
      <w:pPr>
        <w:spacing w:before="120" w:line="276" w:lineRule="auto"/>
        <w:ind w:firstLine="720"/>
        <w:jc w:val="both"/>
      </w:pPr>
      <w:r>
        <w:t>b) Hỗ trợ Ban công tác Mặt trận ở khu dân cư thực hiện cuộc vận động và các phong trào phát động ở địa phương: Khu dân cư có quy mô dân số dưới 700 hộ dân, mức 05 triệu đồng/năm/khu dân cư; Khu dân cư có quy mô dân số cứ tăng thêm 200 hộ dân thì được hỗ trợ thêm 01 triệu đồng/năm/khu dân cư.</w:t>
      </w:r>
    </w:p>
    <w:p w14:paraId="63284BEC">
      <w:pPr>
        <w:spacing w:before="120" w:line="276" w:lineRule="auto"/>
        <w:ind w:firstLine="720"/>
        <w:jc w:val="both"/>
        <w:rPr>
          <w:b/>
          <w:bCs/>
        </w:rPr>
      </w:pPr>
      <w:r>
        <w:rPr>
          <w:b/>
          <w:bCs/>
        </w:rPr>
        <w:t xml:space="preserve">Điều 19. Tiêu chí, định mức phân bổ chi quốc phòng, an ninh: </w:t>
      </w:r>
    </w:p>
    <w:p w14:paraId="16BA03A7">
      <w:pPr>
        <w:spacing w:before="120" w:line="276" w:lineRule="auto"/>
        <w:ind w:firstLine="720"/>
        <w:jc w:val="both"/>
      </w:pPr>
      <w:r>
        <w:t>1. Tiêu chí, định mức phân bổ chi quốc phòng</w:t>
      </w:r>
    </w:p>
    <w:p w14:paraId="20DCA0D5">
      <w:pPr>
        <w:spacing w:before="120" w:line="276" w:lineRule="auto"/>
        <w:ind w:firstLine="720"/>
        <w:jc w:val="both"/>
      </w:pPr>
      <w:r>
        <w:t>a) Định mức phân bổ theo tiêu chí dân số: vùng đặc biệt khó khăn là 49.910 đồng/người dân; vùng khó khăn là 34.960 đồng/người dân; vùng đô thị là 25070 đồng/người dân; vùng khác còn lại 25.070 đồng/người dân.</w:t>
      </w:r>
    </w:p>
    <w:p w14:paraId="15EC1A59">
      <w:pPr>
        <w:spacing w:before="120" w:line="276" w:lineRule="auto"/>
        <w:ind w:firstLine="720"/>
        <w:jc w:val="both"/>
      </w:pPr>
      <w:r>
        <w:t>b) Phân bổ theo tiêu chí bổ sung: mức 1.530 triệu đồng/xã biên giới đất liền; mức 510 triệu đồng/xã, phường khu vực biên giới biển.</w:t>
      </w:r>
    </w:p>
    <w:p w14:paraId="5421AB70">
      <w:pPr>
        <w:spacing w:before="120" w:line="276" w:lineRule="auto"/>
        <w:ind w:firstLine="720"/>
        <w:jc w:val="both"/>
      </w:pPr>
      <w:r>
        <w:t>c) Bổ sung kinh phí thực hiện Luật dân quân tự vệ, Nghị định số 72/2020/NĐ-CP ngày 30/6/2020 của Chính phủ (đối với các nội dung phân cấp cho cấp xã).</w:t>
      </w:r>
    </w:p>
    <w:p w14:paraId="7898A037">
      <w:pPr>
        <w:spacing w:before="120" w:line="276" w:lineRule="auto"/>
        <w:ind w:firstLine="720"/>
        <w:jc w:val="both"/>
        <w:rPr>
          <w:bCs/>
        </w:rPr>
      </w:pPr>
      <w:r>
        <w:t xml:space="preserve">2. </w:t>
      </w:r>
      <w:r>
        <w:rPr>
          <w:bCs/>
        </w:rPr>
        <w:t xml:space="preserve">Tiêu chí, định mức phân bổ chi an ninh, trật tự an toàn xã hội </w:t>
      </w:r>
    </w:p>
    <w:p w14:paraId="01CC3A09">
      <w:pPr>
        <w:spacing w:before="120" w:line="276" w:lineRule="auto"/>
        <w:ind w:firstLine="720"/>
        <w:jc w:val="both"/>
      </w:pPr>
      <w:r>
        <w:rPr>
          <w:bCs/>
        </w:rPr>
        <w:t>a)</w:t>
      </w:r>
      <w:r>
        <w:t xml:space="preserve"> Định mức phân bổ theo tiêu chí dân số: vùng đặc biệt khó khăn là 47.940 đồng/người dân; vùng khó khăn là 33.660 đồng/người dân; vùng đô thị là 31.620 đồng/người dân; vùng khác còn lại 23.970 đồng/người dân.</w:t>
      </w:r>
    </w:p>
    <w:p w14:paraId="0C31B3A4">
      <w:pPr>
        <w:spacing w:before="120" w:line="276" w:lineRule="auto"/>
        <w:ind w:firstLine="720"/>
        <w:jc w:val="both"/>
      </w:pPr>
      <w:r>
        <w:t>b) Phân bổ theo tiêu chí bổ sung: mức 1.530 triệu đồng/xã biên giới đất liền; mức 510 triệu đồng/xã, phường khu vực biên giới biển;</w:t>
      </w:r>
    </w:p>
    <w:p w14:paraId="72A70C87">
      <w:pPr>
        <w:spacing w:before="120" w:line="276" w:lineRule="auto"/>
        <w:ind w:firstLine="720"/>
        <w:jc w:val="both"/>
      </w:pPr>
      <w:r>
        <w:t xml:space="preserve">c) Bổ sung kinh phí </w:t>
      </w:r>
      <w:r>
        <w:rPr>
          <w:lang w:val="vi-VN"/>
        </w:rPr>
        <w:t>thực hiện hỗ trợ thường xuyên hàng tháng đối với thành viên Tổ an ninh, trật tự ở cơ sở theo Nghị quyết số 25/2026/NQ-HĐND ngày 23/9/2026 của HĐND tỉnh</w:t>
      </w:r>
      <w:r>
        <w:t>.</w:t>
      </w:r>
    </w:p>
    <w:p w14:paraId="65654689">
      <w:pPr>
        <w:spacing w:before="120" w:line="276" w:lineRule="auto"/>
        <w:ind w:firstLine="720"/>
        <w:jc w:val="both"/>
        <w:rPr>
          <w:b/>
        </w:rPr>
      </w:pPr>
      <w:r>
        <w:rPr>
          <w:b/>
        </w:rPr>
        <w:t>Điều 20. Tiêu chí, định mức chi sự nghiệp khoa học và công nghệ, đổi mới sáng tạo và chuyển đổi số:</w:t>
      </w:r>
    </w:p>
    <w:p w14:paraId="3CFEF780">
      <w:pPr>
        <w:spacing w:before="120" w:line="276" w:lineRule="auto"/>
        <w:ind w:firstLine="720"/>
        <w:jc w:val="both"/>
      </w:pPr>
      <w:r>
        <w:t>1. Định mức phân bổ thực hiện theo quy định của pháp luật về khoa học, công nghệ, đổi mới sáng tạo;</w:t>
      </w:r>
    </w:p>
    <w:p w14:paraId="273D953C">
      <w:pPr>
        <w:spacing w:before="120" w:line="276" w:lineRule="auto"/>
        <w:ind w:firstLine="720"/>
        <w:jc w:val="both"/>
      </w:pPr>
      <w:r>
        <w:t>2. Tiêu chí bổ sung: hỗ trợ mức 200 triệu đồng/năm/xã, phường để thực hiện các nhiệm vụ khoa học, công nghệ, đổi mới sáng tạo và chuyển đổi số</w:t>
      </w:r>
      <w:r>
        <w:rPr>
          <w:lang w:val="vi-VN"/>
        </w:rPr>
        <w:t xml:space="preserve"> </w:t>
      </w:r>
      <w:r>
        <w:t xml:space="preserve">và thực hiện </w:t>
      </w:r>
      <w:r>
        <w:rPr>
          <w:lang w:val="vi-VN"/>
        </w:rPr>
        <w:t>hỗ trợ cán bộ, công chức làm công tác chuyên trách về chuyển đổi số, công nghệ thông tin theo Nghị định số 179/2025/NĐ-CP</w:t>
      </w:r>
      <w:r>
        <w:t>.</w:t>
      </w:r>
    </w:p>
    <w:p w14:paraId="564D5271">
      <w:pPr>
        <w:spacing w:before="120" w:line="276" w:lineRule="auto"/>
        <w:jc w:val="both"/>
        <w:rPr>
          <w:b/>
          <w:bCs/>
        </w:rPr>
      </w:pPr>
      <w:r>
        <w:tab/>
      </w:r>
      <w:bookmarkStart w:id="28" w:name="dieu_34"/>
      <w:r>
        <w:rPr>
          <w:b/>
          <w:bCs/>
        </w:rPr>
        <w:t>Điều 21. Tiêu chí, định mức phân bổ chi các hoạt động kinh tế</w:t>
      </w:r>
      <w:bookmarkEnd w:id="28"/>
    </w:p>
    <w:p w14:paraId="0A6D7A5E">
      <w:pPr>
        <w:spacing w:before="120" w:line="276" w:lineRule="auto"/>
        <w:ind w:firstLine="720"/>
        <w:jc w:val="both"/>
      </w:pPr>
      <w:r>
        <w:t>1. Phân bổ tiền lương, phụ cấp và các khoản có tính chất lương: phân bổ theo chỉ tiêu biên chế được cấp có thẩm quyền giao và các quy định hiện hành về tiền lương, tiền thưởng, phụ cấp và các khoản đóng góp theo lương theo quy định; đối với biên chế kế hoạch chưa tuyển dụng, hệ số lương tính dự toán bằng hệ số khởi điểm của viên chức theo quy định.</w:t>
      </w:r>
    </w:p>
    <w:p w14:paraId="1FFD371F">
      <w:pPr>
        <w:spacing w:before="120" w:line="276" w:lineRule="auto"/>
        <w:ind w:firstLine="720"/>
        <w:jc w:val="both"/>
      </w:pPr>
      <w:r>
        <w:t>2. Định mức phân bổ theo tiêu chí dân số: Vùng đặc biệt khó khăn là 613.500 đồng/người dân; vùng khó khăn là 460.000 đồng/người dân; vùng đô thị là 261.000 đồng/người dân; vùng khác còn lại 306.500 đồng/người dân.</w:t>
      </w:r>
    </w:p>
    <w:p w14:paraId="690F7BF5">
      <w:pPr>
        <w:spacing w:before="120" w:line="276" w:lineRule="auto"/>
        <w:ind w:firstLine="720"/>
        <w:jc w:val="both"/>
      </w:pPr>
      <w:r>
        <w:t>3. Phân bổ theo tiêu chí bổ sung kinh phí ngân sách nhà nước thực hiện các chính sách theo quy định do cơ quan có thẩm quyền ban hành, gồm:</w:t>
      </w:r>
    </w:p>
    <w:p w14:paraId="1422A939">
      <w:pPr>
        <w:spacing w:before="120" w:line="276" w:lineRule="auto"/>
        <w:ind w:firstLine="720"/>
        <w:jc w:val="both"/>
      </w:pPr>
      <w:r>
        <w:t>a) Hỗ trợ kinh phí sử dụng giá dịch vụ, sản phẩm công ích thủy lợi;</w:t>
      </w:r>
    </w:p>
    <w:p w14:paraId="3F637BA4">
      <w:pPr>
        <w:spacing w:before="120" w:line="276" w:lineRule="auto"/>
        <w:ind w:firstLine="720"/>
        <w:jc w:val="both"/>
      </w:pPr>
      <w:r>
        <w:t xml:space="preserve">b) Hỗ trợ địa phương sản xuất lúa; </w:t>
      </w:r>
    </w:p>
    <w:p w14:paraId="660F5DF6">
      <w:pPr>
        <w:spacing w:before="120" w:line="276" w:lineRule="auto"/>
        <w:ind w:firstLine="720"/>
        <w:jc w:val="both"/>
      </w:pPr>
      <w:r>
        <w:t>c) Hỗ trợ địa phương thực hiện chính sách khuyến khích, hỗ trợ ngư dân khai thác, nuôi trồng hải sản và dịch vụ khai thác hải sản trên các vùng biển xa;</w:t>
      </w:r>
    </w:p>
    <w:p w14:paraId="0DFA5F1C">
      <w:pPr>
        <w:spacing w:before="120" w:line="276" w:lineRule="auto"/>
        <w:ind w:firstLine="720"/>
        <w:jc w:val="both"/>
      </w:pPr>
      <w:r>
        <w:t xml:space="preserve">4. Phân bổ theo tiêu chí bổ sung </w:t>
      </w:r>
    </w:p>
    <w:p w14:paraId="1612237E">
      <w:pPr>
        <w:spacing w:before="120" w:line="276" w:lineRule="auto"/>
        <w:ind w:firstLine="720"/>
        <w:jc w:val="both"/>
      </w:pPr>
      <w:r>
        <w:t>a) Bổ sung kinh phí kiến thiết thị chính và các hoạt động kinh tế khác:</w:t>
      </w:r>
    </w:p>
    <w:p w14:paraId="78888F1A">
      <w:pPr>
        <w:spacing w:before="60" w:after="60"/>
        <w:ind w:firstLine="720"/>
        <w:jc w:val="both"/>
      </w:pPr>
      <w:r>
        <w:t>- Phường Thành Sen: 40.000 triệu đồng/năm.</w:t>
      </w:r>
    </w:p>
    <w:p w14:paraId="3E44BA4E">
      <w:pPr>
        <w:spacing w:before="60" w:after="60"/>
        <w:ind w:firstLine="720"/>
        <w:jc w:val="both"/>
      </w:pPr>
      <w:r>
        <w:t>- Phường Sông trí: 20.000 triệu đồng/năm.</w:t>
      </w:r>
    </w:p>
    <w:p w14:paraId="747DFF3E">
      <w:pPr>
        <w:spacing w:before="60" w:after="60"/>
        <w:ind w:firstLine="720"/>
        <w:jc w:val="both"/>
      </w:pPr>
      <w:r>
        <w:t>- Các phường còn lại: 8.000 triệu đồng/năm.</w:t>
      </w:r>
    </w:p>
    <w:p w14:paraId="74CC7EA5">
      <w:pPr>
        <w:spacing w:before="60" w:after="60"/>
        <w:ind w:firstLine="720"/>
        <w:jc w:val="both"/>
      </w:pPr>
      <w:r>
        <w:t>- Các xã Kỳ Anh, Cẩm Xuyên, Thạch Hà, Can Lộc, Đức Thọ, Tiên Điền, Hương Sơn, Hương Khê, Vũ Quang: 4.000 triệu đồng/năm.</w:t>
      </w:r>
    </w:p>
    <w:p w14:paraId="0BBA9F38">
      <w:pPr>
        <w:spacing w:before="60" w:after="60"/>
        <w:ind w:firstLine="720"/>
        <w:jc w:val="both"/>
      </w:pPr>
      <w:r>
        <w:t>- Các xã Thiên Cầm, Lộc Hà, Đồng Lộc, Nghi Xuân, Sơn Tây: 3.000 triệu đồng/năm.</w:t>
      </w:r>
    </w:p>
    <w:p w14:paraId="397A9277">
      <w:pPr>
        <w:spacing w:before="60" w:after="60"/>
        <w:ind w:firstLine="720"/>
        <w:jc w:val="both"/>
      </w:pPr>
      <w:r>
        <w:t>b) Hỗ trợ duy tu, sửa chữa đường tuần tra biên giới (đối với các xã biên giới đất liền: 500 triệu đồng/xã.</w:t>
      </w:r>
    </w:p>
    <w:p w14:paraId="5AB90D21">
      <w:pPr>
        <w:spacing w:before="60" w:after="60"/>
        <w:ind w:firstLine="720"/>
        <w:jc w:val="both"/>
      </w:pPr>
      <w:r>
        <w:t>5. Định mức quy định tại khoản 2, điểm a khoản 4 Điều này đã bao gồm kinh phí thực hiện các dịch vụ công cộng như: chiếu sáng công cộng, chăm sóc cây xanh… và các nhiệm vụ khác theo quy định.</w:t>
      </w:r>
    </w:p>
    <w:p w14:paraId="151960FD">
      <w:pPr>
        <w:spacing w:before="60" w:after="60"/>
        <w:ind w:firstLine="720"/>
        <w:jc w:val="both"/>
      </w:pPr>
      <w:r>
        <w:t>6. Bổ sung kinh phí thực hiện các chính sách do Trung ương và tỉnh ban hành.</w:t>
      </w:r>
    </w:p>
    <w:p w14:paraId="0E7AD48E">
      <w:pPr>
        <w:spacing w:before="60" w:after="60"/>
        <w:ind w:firstLine="720"/>
        <w:jc w:val="both"/>
      </w:pPr>
      <w:r>
        <w:t>7. Bố trí, hỗ trợ thêm kinh phí thực hiện các đề án, chính sách và thực hiện các nhiệm vụ khác theo khả năng cân đối ngân sách địa phương”.</w:t>
      </w:r>
    </w:p>
    <w:p w14:paraId="228EB436">
      <w:pPr>
        <w:spacing w:before="120" w:line="276" w:lineRule="auto"/>
        <w:ind w:firstLine="720"/>
        <w:jc w:val="both"/>
      </w:pPr>
      <w:r>
        <w:t>8. Đối với nhiệm vụ chi quản lý, bảo trì đường bộ từ nguồn thu phí sử dụng đường bộ thu qua đầu phương tiện ô tô: Chính phủ trình Quốc hội xem xét, quyết định trong dự toán ngân sách nhà nước hàng năm.</w:t>
      </w:r>
    </w:p>
    <w:p w14:paraId="403CC81E">
      <w:pPr>
        <w:spacing w:before="120" w:line="276" w:lineRule="auto"/>
        <w:ind w:firstLine="720"/>
        <w:jc w:val="both"/>
      </w:pPr>
      <w:r>
        <w:rPr>
          <w:b/>
        </w:rPr>
        <w:t>Điều 22. Tiêu chí, định mức phân bổ chi sự nghiệp bảo vệ môi trường</w:t>
      </w:r>
      <w:r>
        <w:t xml:space="preserve">: </w:t>
      </w:r>
    </w:p>
    <w:p w14:paraId="1343C08F">
      <w:pPr>
        <w:spacing w:before="60" w:after="60"/>
        <w:ind w:firstLine="720"/>
        <w:jc w:val="both"/>
      </w:pPr>
      <w:r>
        <w:t>1. Phân bổ chi sự nghiệp bảo vệ môi trường như sau:</w:t>
      </w:r>
    </w:p>
    <w:p w14:paraId="49BFA34E">
      <w:pPr>
        <w:spacing w:before="60" w:after="60"/>
        <w:ind w:firstLine="720"/>
        <w:jc w:val="both"/>
      </w:pPr>
      <w:r>
        <w:t>a) Phường Thành Sen: 8.000 triệu đồng/năm.</w:t>
      </w:r>
    </w:p>
    <w:p w14:paraId="4E1C32C7">
      <w:pPr>
        <w:spacing w:before="60" w:after="60"/>
        <w:ind w:firstLine="720"/>
        <w:jc w:val="both"/>
      </w:pPr>
      <w:r>
        <w:t>b) Phường Sông Trí: 4.000 triệu đồng/năm.</w:t>
      </w:r>
    </w:p>
    <w:p w14:paraId="6A101E86">
      <w:pPr>
        <w:spacing w:before="60" w:after="60"/>
        <w:ind w:firstLine="720"/>
        <w:jc w:val="both"/>
      </w:pPr>
      <w:r>
        <w:t>c) Các phường còn lại; các xã Kỳ Anh, Cẩm Xuyên, Thiên Cầm, Thạch Hà, Lộc Hà, Can Lộc, Đồng Lộc, Tiên Điền, Nghi Xuân, Đức Thọ, Hương Sơn, Sơn Tây, Hương Khê, Vũ Quang và các xã có dân số trên 30.000 người (theo số liệu công bố của Cục Thống kê) : 3.000 triệu đồng/năm.</w:t>
      </w:r>
    </w:p>
    <w:p w14:paraId="603CC892">
      <w:pPr>
        <w:spacing w:before="60" w:after="60"/>
        <w:ind w:firstLine="720"/>
        <w:jc w:val="both"/>
      </w:pPr>
      <w:r>
        <w:t>d) Các xã còn lại: 1.500 triệu đồng/năm.</w:t>
      </w:r>
    </w:p>
    <w:p w14:paraId="5220F5EE">
      <w:pPr>
        <w:spacing w:before="60" w:after="60"/>
        <w:ind w:firstLine="720"/>
        <w:jc w:val="both"/>
      </w:pPr>
      <w:r>
        <w:t xml:space="preserve">2. Định mức hỗ trợ nêu trên đã bao gồm kinh phí hỗ trợ xử lý rác thải, kinh phí vận chuyển và các nhiệm vụ bảo vệ môi trường khác. </w:t>
      </w:r>
    </w:p>
    <w:p w14:paraId="7013FD85">
      <w:pPr>
        <w:spacing w:before="120" w:line="276" w:lineRule="auto"/>
        <w:ind w:firstLine="720"/>
        <w:jc w:val="both"/>
      </w:pPr>
      <w:r>
        <w:t>3. Hỗ trợ kinh phí thực hiện các đề án, chính sách được cấp có thẩm quyền quyết định và thực hiện một số nhiệm vụ cụ thể tỉnh giao theo khả năng cân đối ngân sách.</w:t>
      </w:r>
    </w:p>
    <w:p w14:paraId="53EF7008">
      <w:pPr>
        <w:spacing w:before="120" w:line="276" w:lineRule="auto"/>
        <w:ind w:firstLine="720"/>
        <w:jc w:val="both"/>
      </w:pPr>
      <w:bookmarkStart w:id="29" w:name="dieu_36"/>
      <w:r>
        <w:rPr>
          <w:b/>
          <w:bCs/>
        </w:rPr>
        <w:t>Điều 23. Phân bổ chi thường xuyên khác</w:t>
      </w:r>
      <w:bookmarkEnd w:id="29"/>
      <w:r>
        <w:rPr>
          <w:b/>
          <w:bCs/>
        </w:rPr>
        <w:t xml:space="preserve"> của ngân sách địa phương theo tỷ trọng bằng 0,5% tổng các khoản chi thường xuyên đã được tính theo định mức phân bổ quy định từ Điều 14 đến Điều 22 Nghị quyết này.</w:t>
      </w:r>
    </w:p>
    <w:p w14:paraId="7FBC6829">
      <w:pPr>
        <w:spacing w:before="120" w:line="276" w:lineRule="auto"/>
        <w:ind w:firstLine="720"/>
        <w:jc w:val="center"/>
        <w:rPr>
          <w:b/>
          <w:bCs/>
        </w:rPr>
      </w:pPr>
      <w:bookmarkStart w:id="30" w:name="chuong_pl_1"/>
      <w:r>
        <w:rPr>
          <w:b/>
          <w:bCs/>
        </w:rPr>
        <w:t>Chương V</w:t>
      </w:r>
    </w:p>
    <w:p w14:paraId="6F402E54">
      <w:pPr>
        <w:spacing w:before="120" w:line="276" w:lineRule="auto"/>
        <w:ind w:firstLine="720"/>
        <w:jc w:val="center"/>
        <w:rPr>
          <w:b/>
          <w:bCs/>
        </w:rPr>
      </w:pPr>
      <w:r>
        <w:rPr>
          <w:b/>
          <w:bCs/>
        </w:rPr>
        <w:t>ĐIỀU KHOẢN THI HÀNH</w:t>
      </w:r>
    </w:p>
    <w:p w14:paraId="2747955F">
      <w:pPr>
        <w:spacing w:before="120" w:line="276" w:lineRule="auto"/>
        <w:jc w:val="both"/>
        <w:rPr>
          <w:b/>
          <w:bCs/>
        </w:rPr>
      </w:pPr>
      <w:r>
        <w:rPr>
          <w:b/>
          <w:bCs/>
        </w:rPr>
        <w:tab/>
      </w:r>
      <w:r>
        <w:rPr>
          <w:b/>
          <w:bCs/>
        </w:rPr>
        <w:t>Điều 24. Hiệu lực thi hành</w:t>
      </w:r>
    </w:p>
    <w:p w14:paraId="73327BF8">
      <w:pPr>
        <w:spacing w:before="120" w:line="276" w:lineRule="auto"/>
        <w:ind w:firstLine="720"/>
        <w:jc w:val="both"/>
        <w:rPr>
          <w:bCs/>
        </w:rPr>
      </w:pPr>
      <w:r>
        <w:rPr>
          <w:bCs/>
        </w:rPr>
        <w:t>1. Nghị quyết này có hiệu lực từ ngày ký ban hành và làm cơ sở xây dựng dự toán ngân sách nhà nước năm 2027;</w:t>
      </w:r>
    </w:p>
    <w:p w14:paraId="2812F471">
      <w:pPr>
        <w:spacing w:before="120" w:line="276" w:lineRule="auto"/>
        <w:ind w:firstLine="720"/>
        <w:jc w:val="both"/>
        <w:rPr>
          <w:bCs/>
        </w:rPr>
      </w:pPr>
      <w:r>
        <w:rPr>
          <w:bCs/>
        </w:rPr>
        <w:t>2. Nghị quyết này thay thế các Nghị quyết số 41/2021/NQ-HĐND ngày 16/12/2021; số 149/2025/NQ-HĐND ngày 27/6/2025 và số 168/2025/NQ-HĐND ngày 10/12/2025 của Hội đồng nhân dân tỉnh.</w:t>
      </w:r>
    </w:p>
    <w:p w14:paraId="1789E020">
      <w:pPr>
        <w:spacing w:before="120" w:line="276" w:lineRule="auto"/>
        <w:ind w:firstLine="720"/>
        <w:jc w:val="both"/>
      </w:pPr>
      <w:r>
        <w:rPr>
          <w:rFonts w:hint="eastAsia"/>
          <w:b/>
        </w:rPr>
        <w:t>Đ</w:t>
      </w:r>
      <w:r>
        <w:rPr>
          <w:b/>
        </w:rPr>
        <w:t>iều 25. Tổ chức thực hiện</w:t>
      </w:r>
    </w:p>
    <w:p w14:paraId="388B4477">
      <w:pPr>
        <w:spacing w:before="120" w:line="276" w:lineRule="auto"/>
        <w:ind w:firstLine="720"/>
        <w:jc w:val="both"/>
      </w:pPr>
      <w:r>
        <w:t>1. Giao Ủy ban nhân dân tỉnh tổ chức triển khai thực hiện Nghị quyết này.</w:t>
      </w:r>
    </w:p>
    <w:p w14:paraId="471A47E2">
      <w:pPr>
        <w:spacing w:before="120" w:line="276" w:lineRule="auto"/>
        <w:ind w:firstLine="720"/>
        <w:jc w:val="both"/>
      </w:pPr>
      <w:r>
        <w:t>2. Thường trực Hội đồng nhân dân, các Ban Hội đồng nhân dân và đại biểu Hội đồng nhân dân tỉnh giám sát thực hiện Nghị quyết.</w:t>
      </w:r>
    </w:p>
    <w:p w14:paraId="3F05F67B">
      <w:pPr>
        <w:spacing w:before="120" w:line="276" w:lineRule="auto"/>
        <w:ind w:firstLine="720"/>
        <w:jc w:val="both"/>
        <w:rPr>
          <w:lang/>
        </w:rPr>
      </w:pPr>
      <w:r>
        <w:rPr>
          <w:lang/>
        </w:rPr>
        <w:t xml:space="preserve">Nghị quyết này đã được Hội đồng nhân dân tỉnh Hà Tĩnh Khóa …., Kỳ họp thứ …. thông qua ngày      tháng 12 năm 2026 và có hiệu lực từ ngày 01 tháng 01 năm 2027./. </w:t>
      </w:r>
    </w:p>
    <w:p w14:paraId="2906749D">
      <w:pPr>
        <w:spacing w:before="120" w:line="276" w:lineRule="auto"/>
        <w:ind w:firstLine="709"/>
        <w:jc w:val="both"/>
        <w:rPr>
          <w:sz w:val="8"/>
          <w:lang/>
        </w:rPr>
      </w:pPr>
    </w:p>
    <w:tbl>
      <w:tblPr>
        <w:tblStyle w:val="3"/>
        <w:tblW w:w="9458" w:type="dxa"/>
        <w:tblInd w:w="0" w:type="dxa"/>
        <w:tblLayout w:type="autofit"/>
        <w:tblCellMar>
          <w:top w:w="0" w:type="dxa"/>
          <w:left w:w="108" w:type="dxa"/>
          <w:bottom w:w="0" w:type="dxa"/>
          <w:right w:w="108" w:type="dxa"/>
        </w:tblCellMar>
      </w:tblPr>
      <w:tblGrid>
        <w:gridCol w:w="4788"/>
        <w:gridCol w:w="4670"/>
      </w:tblGrid>
      <w:tr w14:paraId="03FBAD78">
        <w:tblPrEx>
          <w:tblCellMar>
            <w:top w:w="0" w:type="dxa"/>
            <w:left w:w="108" w:type="dxa"/>
            <w:bottom w:w="0" w:type="dxa"/>
            <w:right w:w="108" w:type="dxa"/>
          </w:tblCellMar>
        </w:tblPrEx>
        <w:tc>
          <w:tcPr>
            <w:tcW w:w="4788" w:type="dxa"/>
          </w:tcPr>
          <w:p w14:paraId="04895606">
            <w:pPr>
              <w:spacing w:line="276" w:lineRule="auto"/>
              <w:jc w:val="both"/>
              <w:rPr>
                <w:b/>
                <w:i/>
                <w:sz w:val="22"/>
                <w:lang w:val="vi-VN" w:eastAsia="en-GB"/>
              </w:rPr>
            </w:pPr>
            <w:r>
              <w:rPr>
                <w:b/>
                <w:i/>
                <w:sz w:val="22"/>
                <w:lang w:val="vi-VN" w:eastAsia="en-GB"/>
              </w:rPr>
              <w:t>Nơi nhận:</w:t>
            </w:r>
          </w:p>
          <w:p w14:paraId="210A3BA9">
            <w:pPr>
              <w:spacing w:line="276" w:lineRule="auto"/>
              <w:jc w:val="both"/>
              <w:rPr>
                <w:sz w:val="22"/>
                <w:lang w:val="vi-VN" w:eastAsia="en-GB"/>
              </w:rPr>
            </w:pPr>
            <w:r>
              <w:rPr>
                <w:sz w:val="22"/>
                <w:lang w:val="vi-VN" w:eastAsia="en-GB"/>
              </w:rPr>
              <w:t>- Ủy ban Thường vụ Quốc hội;</w:t>
            </w:r>
          </w:p>
          <w:p w14:paraId="658401D2">
            <w:pPr>
              <w:spacing w:line="276" w:lineRule="auto"/>
              <w:jc w:val="both"/>
              <w:rPr>
                <w:sz w:val="22"/>
                <w:lang w:val="vi-VN" w:eastAsia="en-GB"/>
              </w:rPr>
            </w:pPr>
            <w:r>
              <w:rPr>
                <w:sz w:val="22"/>
                <w:lang w:val="vi-VN" w:eastAsia="en-GB"/>
              </w:rPr>
              <w:t>- Ban Công tác đại biểu UBTVQH;</w:t>
            </w:r>
          </w:p>
          <w:p w14:paraId="0C1B33A5">
            <w:pPr>
              <w:spacing w:line="276" w:lineRule="auto"/>
              <w:jc w:val="both"/>
              <w:rPr>
                <w:sz w:val="22"/>
                <w:lang w:val="vi-VN" w:eastAsia="en-GB"/>
              </w:rPr>
            </w:pPr>
            <w:r>
              <w:rPr>
                <w:sz w:val="22"/>
                <w:lang w:val="vi-VN" w:eastAsia="en-GB"/>
              </w:rPr>
              <w:t xml:space="preserve">- Văn phòng Quốc hội; </w:t>
            </w:r>
          </w:p>
          <w:p w14:paraId="430BC288">
            <w:pPr>
              <w:spacing w:line="276" w:lineRule="auto"/>
              <w:jc w:val="both"/>
              <w:rPr>
                <w:sz w:val="22"/>
                <w:lang w:val="vi-VN" w:eastAsia="en-GB"/>
              </w:rPr>
            </w:pPr>
            <w:r>
              <w:rPr>
                <w:sz w:val="22"/>
                <w:lang w:val="vi-VN" w:eastAsia="en-GB"/>
              </w:rPr>
              <w:t>- Văn phòng Chủ tịch nước;</w:t>
            </w:r>
          </w:p>
          <w:p w14:paraId="653AAEFC">
            <w:pPr>
              <w:spacing w:line="276" w:lineRule="auto"/>
              <w:jc w:val="both"/>
              <w:rPr>
                <w:sz w:val="22"/>
                <w:lang w:val="vi-VN" w:eastAsia="en-GB"/>
              </w:rPr>
            </w:pPr>
            <w:r>
              <w:rPr>
                <w:sz w:val="22"/>
                <w:lang w:val="vi-VN" w:eastAsia="en-GB"/>
              </w:rPr>
              <w:t>- Văn phòng Chính phủ, Website Chính phủ;</w:t>
            </w:r>
          </w:p>
          <w:p w14:paraId="695229D5">
            <w:pPr>
              <w:spacing w:line="276" w:lineRule="auto"/>
              <w:jc w:val="both"/>
              <w:rPr>
                <w:sz w:val="22"/>
                <w:lang w:val="vi-VN" w:eastAsia="en-GB"/>
              </w:rPr>
            </w:pPr>
            <w:r>
              <w:rPr>
                <w:sz w:val="22"/>
                <w:lang w:val="vi-VN" w:eastAsia="en-GB"/>
              </w:rPr>
              <w:t>- Kiểm toán nhà nước khu vực II;</w:t>
            </w:r>
          </w:p>
          <w:p w14:paraId="0F79F5BA">
            <w:pPr>
              <w:spacing w:line="276" w:lineRule="auto"/>
              <w:jc w:val="both"/>
              <w:rPr>
                <w:sz w:val="22"/>
                <w:lang w:val="vi-VN" w:eastAsia="en-GB"/>
              </w:rPr>
            </w:pPr>
            <w:r>
              <w:rPr>
                <w:sz w:val="22"/>
                <w:lang w:val="vi-VN" w:eastAsia="en-GB"/>
              </w:rPr>
              <w:t>- Bộ Tài chính;</w:t>
            </w:r>
          </w:p>
          <w:p w14:paraId="25445C57">
            <w:pPr>
              <w:spacing w:line="276" w:lineRule="auto"/>
              <w:jc w:val="both"/>
              <w:rPr>
                <w:sz w:val="22"/>
                <w:lang w:val="vi-VN" w:eastAsia="en-GB"/>
              </w:rPr>
            </w:pPr>
            <w:r>
              <w:rPr>
                <w:sz w:val="22"/>
                <w:lang w:val="vi-VN" w:eastAsia="en-GB"/>
              </w:rPr>
              <w:t>- Bộ Tư lệnh Quân khu IV;</w:t>
            </w:r>
          </w:p>
          <w:p w14:paraId="7DB2E88A">
            <w:pPr>
              <w:spacing w:line="276" w:lineRule="auto"/>
              <w:jc w:val="both"/>
              <w:rPr>
                <w:sz w:val="22"/>
                <w:lang w:val="vi-VN" w:eastAsia="en-GB"/>
              </w:rPr>
            </w:pPr>
            <w:r>
              <w:rPr>
                <w:sz w:val="22"/>
                <w:lang w:val="vi-VN" w:eastAsia="en-GB"/>
              </w:rPr>
              <w:t>- Cục kiểm tra văn bản - Bộ Tư pháp;</w:t>
            </w:r>
          </w:p>
          <w:p w14:paraId="6411DC86">
            <w:pPr>
              <w:spacing w:line="276" w:lineRule="auto"/>
              <w:jc w:val="both"/>
              <w:rPr>
                <w:sz w:val="22"/>
                <w:lang w:val="vi-VN" w:eastAsia="en-GB"/>
              </w:rPr>
            </w:pPr>
            <w:r>
              <w:rPr>
                <w:sz w:val="22"/>
                <w:lang w:val="vi-VN" w:eastAsia="en-GB"/>
              </w:rPr>
              <w:t>- TT Tỉnh uỷ, HĐND, UBND, UBMTTQ tỉnh;</w:t>
            </w:r>
          </w:p>
          <w:p w14:paraId="4EEF598B">
            <w:pPr>
              <w:spacing w:line="276" w:lineRule="auto"/>
              <w:jc w:val="both"/>
              <w:rPr>
                <w:sz w:val="22"/>
                <w:lang w:val="vi-VN" w:eastAsia="en-GB"/>
              </w:rPr>
            </w:pPr>
            <w:r>
              <w:rPr>
                <w:sz w:val="22"/>
                <w:lang w:val="vi-VN" w:eastAsia="en-GB"/>
              </w:rPr>
              <w:t>- Đại biểu Quốc hội đoàn Hà Tĩnh;</w:t>
            </w:r>
          </w:p>
          <w:p w14:paraId="0A9E876F">
            <w:pPr>
              <w:spacing w:line="276" w:lineRule="auto"/>
              <w:jc w:val="both"/>
              <w:rPr>
                <w:sz w:val="22"/>
                <w:lang w:val="vi-VN" w:eastAsia="en-GB"/>
              </w:rPr>
            </w:pPr>
            <w:r>
              <w:rPr>
                <w:sz w:val="22"/>
                <w:lang w:val="vi-VN" w:eastAsia="en-GB"/>
              </w:rPr>
              <w:t>- Đại biểu HĐND tỉnh;</w:t>
            </w:r>
          </w:p>
          <w:p w14:paraId="0A7D7A2A">
            <w:pPr>
              <w:spacing w:line="276" w:lineRule="auto"/>
              <w:jc w:val="both"/>
              <w:rPr>
                <w:sz w:val="22"/>
                <w:lang w:val="vi-VN" w:eastAsia="en-GB"/>
              </w:rPr>
            </w:pPr>
            <w:r>
              <w:rPr>
                <w:sz w:val="22"/>
                <w:lang w:val="vi-VN" w:eastAsia="en-GB"/>
              </w:rPr>
              <w:t>- Văn phòng Tỉnh uỷ;</w:t>
            </w:r>
          </w:p>
          <w:p w14:paraId="45D762E7">
            <w:pPr>
              <w:spacing w:line="276" w:lineRule="auto"/>
              <w:jc w:val="both"/>
              <w:rPr>
                <w:sz w:val="22"/>
                <w:lang w:val="vi-VN" w:eastAsia="en-GB"/>
              </w:rPr>
            </w:pPr>
            <w:r>
              <w:rPr>
                <w:sz w:val="22"/>
                <w:lang w:val="vi-VN" w:eastAsia="en-GB"/>
              </w:rPr>
              <w:t>- Văn phòng Đoàn ĐBQH tỉnh;</w:t>
            </w:r>
          </w:p>
          <w:p w14:paraId="6CE79446">
            <w:pPr>
              <w:spacing w:line="276" w:lineRule="auto"/>
              <w:jc w:val="both"/>
              <w:rPr>
                <w:sz w:val="22"/>
                <w:lang w:val="vi-VN" w:eastAsia="en-GB"/>
              </w:rPr>
            </w:pPr>
            <w:r>
              <w:rPr>
                <w:sz w:val="22"/>
                <w:lang w:val="vi-VN" w:eastAsia="en-GB"/>
              </w:rPr>
              <w:t>- Văn phòng HĐND tỉnh;</w:t>
            </w:r>
          </w:p>
          <w:p w14:paraId="4B498298">
            <w:pPr>
              <w:spacing w:line="276" w:lineRule="auto"/>
              <w:jc w:val="both"/>
              <w:rPr>
                <w:sz w:val="22"/>
                <w:lang w:val="vi-VN" w:eastAsia="en-GB"/>
              </w:rPr>
            </w:pPr>
            <w:r>
              <w:rPr>
                <w:sz w:val="22"/>
                <w:lang w:val="vi-VN" w:eastAsia="en-GB"/>
              </w:rPr>
              <w:t>- Văn phòng UBND tỉnh;</w:t>
            </w:r>
          </w:p>
          <w:p w14:paraId="00DFE54F">
            <w:pPr>
              <w:spacing w:line="276" w:lineRule="auto"/>
              <w:jc w:val="both"/>
              <w:rPr>
                <w:sz w:val="22"/>
                <w:lang w:val="vi-VN" w:eastAsia="en-GB"/>
              </w:rPr>
            </w:pPr>
            <w:r>
              <w:rPr>
                <w:sz w:val="22"/>
                <w:lang w:val="vi-VN" w:eastAsia="en-GB"/>
              </w:rPr>
              <w:t>- Các sở, ban, ngành, đoàn thể cấp tỉnh;</w:t>
            </w:r>
          </w:p>
          <w:p w14:paraId="4E132971">
            <w:pPr>
              <w:spacing w:line="276" w:lineRule="auto"/>
              <w:jc w:val="both"/>
              <w:rPr>
                <w:sz w:val="22"/>
                <w:lang w:val="vi-VN" w:eastAsia="en-GB"/>
              </w:rPr>
            </w:pPr>
            <w:r>
              <w:rPr>
                <w:sz w:val="22"/>
                <w:lang w:val="vi-VN" w:eastAsia="en-GB"/>
              </w:rPr>
              <w:t>- TT HĐND, UBND các huyện, thành phố, thị xã;</w:t>
            </w:r>
          </w:p>
          <w:p w14:paraId="1AF80206">
            <w:pPr>
              <w:spacing w:line="276" w:lineRule="auto"/>
              <w:jc w:val="both"/>
              <w:rPr>
                <w:sz w:val="22"/>
                <w:lang w:val="vi-VN" w:eastAsia="en-GB"/>
              </w:rPr>
            </w:pPr>
            <w:r>
              <w:rPr>
                <w:sz w:val="22"/>
                <w:lang w:val="vi-VN" w:eastAsia="en-GB"/>
              </w:rPr>
              <w:t>- Trung tâm Công báo - tin học VP UBND tỉnh;</w:t>
            </w:r>
          </w:p>
          <w:p w14:paraId="35EEAA52">
            <w:pPr>
              <w:spacing w:line="276" w:lineRule="auto"/>
              <w:jc w:val="both"/>
              <w:rPr>
                <w:sz w:val="22"/>
                <w:lang w:val="vi-VN"/>
              </w:rPr>
            </w:pPr>
            <w:r>
              <w:rPr>
                <w:sz w:val="22"/>
                <w:lang w:val="vi-VN"/>
              </w:rPr>
              <w:t>- Trang thông tin điện tử tỉnh;</w:t>
            </w:r>
          </w:p>
          <w:p w14:paraId="7DCC6237">
            <w:pPr>
              <w:spacing w:line="276" w:lineRule="auto"/>
              <w:jc w:val="both"/>
              <w:rPr>
                <w:sz w:val="22"/>
                <w:lang w:eastAsia="en-GB"/>
              </w:rPr>
            </w:pPr>
            <w:r>
              <w:rPr>
                <w:sz w:val="22"/>
                <w:lang w:val="vi-VN" w:eastAsia="en-GB"/>
              </w:rPr>
              <w:t>- Lưu</w:t>
            </w:r>
            <w:r>
              <w:rPr>
                <w:sz w:val="22"/>
                <w:lang w:val="en-GB" w:eastAsia="en-GB"/>
              </w:rPr>
              <w:t>:</w:t>
            </w:r>
            <w:r>
              <w:rPr>
                <w:sz w:val="22"/>
                <w:lang w:eastAsia="en-GB"/>
              </w:rPr>
              <w:t xml:space="preserve"> VT.</w:t>
            </w:r>
          </w:p>
        </w:tc>
        <w:tc>
          <w:tcPr>
            <w:tcW w:w="4670" w:type="dxa"/>
          </w:tcPr>
          <w:p w14:paraId="318F69FE">
            <w:pPr>
              <w:spacing w:line="276" w:lineRule="auto"/>
              <w:jc w:val="center"/>
              <w:rPr>
                <w:b/>
                <w:lang w:val="vi-VN" w:eastAsia="en-GB"/>
              </w:rPr>
            </w:pPr>
            <w:r>
              <w:rPr>
                <w:b/>
                <w:lang w:val="vi-VN" w:eastAsia="en-GB"/>
              </w:rPr>
              <w:t>CHỦ TỊCH</w:t>
            </w:r>
          </w:p>
          <w:p w14:paraId="1B805CD5">
            <w:pPr>
              <w:spacing w:line="276" w:lineRule="auto"/>
              <w:jc w:val="center"/>
              <w:rPr>
                <w:b/>
                <w:lang w:val="vi-VN" w:eastAsia="en-GB"/>
              </w:rPr>
            </w:pPr>
          </w:p>
          <w:p w14:paraId="7E0785EA">
            <w:pPr>
              <w:spacing w:line="276" w:lineRule="auto"/>
              <w:jc w:val="center"/>
              <w:rPr>
                <w:b/>
                <w:lang w:val="vi-VN" w:eastAsia="en-GB"/>
              </w:rPr>
            </w:pPr>
          </w:p>
          <w:p w14:paraId="232C6E12">
            <w:pPr>
              <w:spacing w:line="276" w:lineRule="auto"/>
              <w:jc w:val="center"/>
              <w:rPr>
                <w:b/>
                <w:lang w:eastAsia="en-GB"/>
              </w:rPr>
            </w:pPr>
          </w:p>
          <w:p w14:paraId="2998F803">
            <w:pPr>
              <w:spacing w:line="276" w:lineRule="auto"/>
              <w:jc w:val="center"/>
              <w:rPr>
                <w:b/>
                <w:lang w:val="en-GB" w:eastAsia="en-GB"/>
              </w:rPr>
            </w:pPr>
          </w:p>
          <w:p w14:paraId="1B9D2B88">
            <w:pPr>
              <w:spacing w:line="276" w:lineRule="auto"/>
              <w:jc w:val="center"/>
              <w:rPr>
                <w:b/>
                <w:lang w:eastAsia="en-GB"/>
              </w:rPr>
            </w:pPr>
          </w:p>
        </w:tc>
      </w:tr>
      <w:bookmarkEnd w:id="30"/>
    </w:tbl>
    <w:p w14:paraId="53366E5E">
      <w:pPr>
        <w:spacing w:before="120" w:line="276" w:lineRule="auto"/>
        <w:jc w:val="both"/>
        <w:rPr>
          <w:b/>
          <w:bCs/>
        </w:rPr>
      </w:pPr>
    </w:p>
    <w:sectPr>
      <w:headerReference r:id="rId3" w:type="default"/>
      <w:footerReference r:id="rId5" w:type="default"/>
      <w:headerReference r:id="rId4" w:type="even"/>
      <w:pgSz w:w="11906" w:h="16838"/>
      <w:pgMar w:top="1134" w:right="1134" w:bottom="1134" w:left="1701"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E1789">
    <w:pPr>
      <w:pStyle w:val="5"/>
      <w:jc w:val="right"/>
    </w:pPr>
  </w:p>
  <w:p w14:paraId="45AB3850">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07312315"/>
      <w:docPartObj>
        <w:docPartGallery w:val="AutoText"/>
      </w:docPartObj>
    </w:sdtPr>
    <w:sdtContent>
      <w:p w14:paraId="17804564">
        <w:pPr>
          <w:pStyle w:val="8"/>
          <w:jc w:val="center"/>
        </w:pPr>
        <w:r>
          <w:fldChar w:fldCharType="begin"/>
        </w:r>
        <w:r>
          <w:instrText xml:space="preserve"> PAGE   \* MERGEFORMAT </w:instrText>
        </w:r>
        <w:r>
          <w:fldChar w:fldCharType="separate"/>
        </w:r>
        <w:r>
          <w:t>24</w:t>
        </w:r>
        <w:r>
          <w:fldChar w:fldCharType="end"/>
        </w:r>
      </w:p>
    </w:sdtContent>
  </w:sdt>
  <w:p w14:paraId="0E0B1A4C">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F5CF2">
    <w:pPr>
      <w:pStyle w:val="8"/>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14:paraId="64AFBB37">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A917DA"/>
    <w:multiLevelType w:val="multilevel"/>
    <w:tmpl w:val="63A917DA"/>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6505368A"/>
    <w:multiLevelType w:val="multilevel"/>
    <w:tmpl w:val="6505368A"/>
    <w:lvl w:ilvl="0" w:tentative="0">
      <w:start w:val="1"/>
      <w:numFmt w:val="decimal"/>
      <w:lvlText w:val="%1."/>
      <w:lvlJc w:val="left"/>
      <w:pPr>
        <w:ind w:left="1080" w:hanging="360"/>
      </w:pPr>
      <w:rPr>
        <w:rFonts w:hint="default"/>
      </w:rPr>
    </w:lvl>
    <w:lvl w:ilvl="1" w:tentative="0">
      <w:start w:val="1"/>
      <w:numFmt w:val="lowerLetter"/>
      <w:lvlText w:val="%2."/>
      <w:lvlJc w:val="left"/>
      <w:pPr>
        <w:ind w:left="2378" w:hanging="360"/>
      </w:pPr>
    </w:lvl>
    <w:lvl w:ilvl="2" w:tentative="0">
      <w:start w:val="1"/>
      <w:numFmt w:val="lowerRoman"/>
      <w:lvlText w:val="%3."/>
      <w:lvlJc w:val="right"/>
      <w:pPr>
        <w:ind w:left="3098" w:hanging="180"/>
      </w:pPr>
    </w:lvl>
    <w:lvl w:ilvl="3" w:tentative="0">
      <w:start w:val="1"/>
      <w:numFmt w:val="decimal"/>
      <w:lvlText w:val="%4."/>
      <w:lvlJc w:val="left"/>
      <w:pPr>
        <w:ind w:left="3818" w:hanging="360"/>
      </w:pPr>
    </w:lvl>
    <w:lvl w:ilvl="4" w:tentative="0">
      <w:start w:val="1"/>
      <w:numFmt w:val="lowerLetter"/>
      <w:lvlText w:val="%5."/>
      <w:lvlJc w:val="left"/>
      <w:pPr>
        <w:ind w:left="4538" w:hanging="360"/>
      </w:pPr>
    </w:lvl>
    <w:lvl w:ilvl="5" w:tentative="0">
      <w:start w:val="1"/>
      <w:numFmt w:val="lowerRoman"/>
      <w:lvlText w:val="%6."/>
      <w:lvlJc w:val="right"/>
      <w:pPr>
        <w:ind w:left="5258" w:hanging="180"/>
      </w:pPr>
    </w:lvl>
    <w:lvl w:ilvl="6" w:tentative="0">
      <w:start w:val="1"/>
      <w:numFmt w:val="decimal"/>
      <w:lvlText w:val="%7."/>
      <w:lvlJc w:val="left"/>
      <w:pPr>
        <w:ind w:left="5978" w:hanging="360"/>
      </w:pPr>
    </w:lvl>
    <w:lvl w:ilvl="7" w:tentative="0">
      <w:start w:val="1"/>
      <w:numFmt w:val="lowerLetter"/>
      <w:lvlText w:val="%8."/>
      <w:lvlJc w:val="left"/>
      <w:pPr>
        <w:ind w:left="6698" w:hanging="360"/>
      </w:pPr>
    </w:lvl>
    <w:lvl w:ilvl="8" w:tentative="0">
      <w:start w:val="1"/>
      <w:numFmt w:val="lowerRoman"/>
      <w:lvlText w:val="%9."/>
      <w:lvlJc w:val="right"/>
      <w:pPr>
        <w:ind w:left="741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FD2"/>
    <w:rsid w:val="00121672"/>
    <w:rsid w:val="002D60E1"/>
    <w:rsid w:val="00565279"/>
    <w:rsid w:val="00687D21"/>
    <w:rsid w:val="0097342B"/>
    <w:rsid w:val="00DC1FD2"/>
    <w:rsid w:val="36E258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nhideWhenUsed="0" w:uiPriority="0" w:semiHidden="0" w:name="footnote text"/>
    <w:lsdException w:uiPriority="0" w:name="annotation text"/>
    <w:lsdException w:qFormat="1" w:unhideWhenUsed="0" w:uiPriority="99" w:semiHidden="0" w:name="header"/>
    <w:lsdException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semiHidden="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8"/>
      <w:szCs w:val="28"/>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semiHidden/>
    <w:qFormat/>
    <w:uiPriority w:val="0"/>
    <w:rPr>
      <w:rFonts w:ascii="Tahoma" w:hAnsi="Tahoma" w:cs="Tahoma"/>
      <w:sz w:val="16"/>
      <w:szCs w:val="16"/>
    </w:rPr>
  </w:style>
  <w:style w:type="paragraph" w:styleId="5">
    <w:name w:val="footer"/>
    <w:basedOn w:val="1"/>
    <w:link w:val="14"/>
    <w:uiPriority w:val="99"/>
    <w:pPr>
      <w:tabs>
        <w:tab w:val="center" w:pos="4680"/>
        <w:tab w:val="right" w:pos="9360"/>
      </w:tabs>
    </w:pPr>
  </w:style>
  <w:style w:type="character" w:styleId="6">
    <w:name w:val="footnote reference"/>
    <w:basedOn w:val="2"/>
    <w:qFormat/>
    <w:uiPriority w:val="0"/>
    <w:rPr>
      <w:vertAlign w:val="superscript"/>
    </w:rPr>
  </w:style>
  <w:style w:type="paragraph" w:styleId="7">
    <w:name w:val="footnote text"/>
    <w:basedOn w:val="1"/>
    <w:link w:val="17"/>
    <w:uiPriority w:val="0"/>
    <w:rPr>
      <w:sz w:val="20"/>
      <w:szCs w:val="20"/>
    </w:rPr>
  </w:style>
  <w:style w:type="paragraph" w:styleId="8">
    <w:name w:val="header"/>
    <w:basedOn w:val="1"/>
    <w:link w:val="16"/>
    <w:qFormat/>
    <w:uiPriority w:val="99"/>
    <w:pPr>
      <w:tabs>
        <w:tab w:val="center" w:pos="4320"/>
        <w:tab w:val="right" w:pos="8640"/>
      </w:tabs>
    </w:pPr>
  </w:style>
  <w:style w:type="character" w:styleId="9">
    <w:name w:val="Hyperlink"/>
    <w:basedOn w:val="2"/>
    <w:unhideWhenUsed/>
    <w:uiPriority w:val="99"/>
    <w:rPr>
      <w:color w:val="0000FF"/>
      <w:u w:val="single"/>
    </w:rPr>
  </w:style>
  <w:style w:type="character" w:styleId="10">
    <w:name w:val="page number"/>
    <w:basedOn w:val="2"/>
    <w:qFormat/>
    <w:uiPriority w:val="0"/>
  </w:style>
  <w:style w:type="table" w:styleId="11">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Char Char Char Char"/>
    <w:basedOn w:val="1"/>
    <w:uiPriority w:val="0"/>
    <w:pPr>
      <w:spacing w:after="160" w:line="240" w:lineRule="exact"/>
    </w:pPr>
    <w:rPr>
      <w:rFonts w:ascii="Verdana" w:hAnsi="Verdana"/>
      <w:sz w:val="20"/>
      <w:szCs w:val="20"/>
    </w:rPr>
  </w:style>
  <w:style w:type="paragraph" w:customStyle="1" w:styleId="13">
    <w:name w:val="Char"/>
    <w:basedOn w:val="1"/>
    <w:qFormat/>
    <w:uiPriority w:val="0"/>
    <w:pPr>
      <w:spacing w:after="160" w:line="240" w:lineRule="exact"/>
    </w:pPr>
    <w:rPr>
      <w:rFonts w:ascii="Verdana" w:hAnsi="Verdana"/>
      <w:sz w:val="20"/>
      <w:szCs w:val="20"/>
    </w:rPr>
  </w:style>
  <w:style w:type="character" w:customStyle="1" w:styleId="14">
    <w:name w:val="Footer Char"/>
    <w:link w:val="5"/>
    <w:qFormat/>
    <w:uiPriority w:val="99"/>
    <w:rPr>
      <w:sz w:val="28"/>
      <w:szCs w:val="28"/>
    </w:rPr>
  </w:style>
  <w:style w:type="paragraph" w:styleId="15">
    <w:name w:val="List Paragraph"/>
    <w:basedOn w:val="1"/>
    <w:qFormat/>
    <w:uiPriority w:val="34"/>
    <w:pPr>
      <w:ind w:left="720"/>
      <w:contextualSpacing/>
    </w:pPr>
  </w:style>
  <w:style w:type="character" w:customStyle="1" w:styleId="16">
    <w:name w:val="Header Char"/>
    <w:basedOn w:val="2"/>
    <w:link w:val="8"/>
    <w:uiPriority w:val="99"/>
    <w:rPr>
      <w:sz w:val="28"/>
      <w:szCs w:val="28"/>
    </w:rPr>
  </w:style>
  <w:style w:type="character" w:customStyle="1" w:styleId="17">
    <w:name w:val="Footnote Text Char"/>
    <w:basedOn w:val="2"/>
    <w:link w:val="7"/>
    <w:uiPriority w:val="0"/>
  </w:style>
  <w:style w:type="character" w:customStyle="1" w:styleId="18">
    <w:name w:val="Body text_"/>
    <w:basedOn w:val="2"/>
    <w:link w:val="19"/>
    <w:uiPriority w:val="0"/>
    <w:rPr>
      <w:sz w:val="27"/>
      <w:szCs w:val="27"/>
      <w:shd w:val="clear" w:color="auto" w:fill="FFFFFF"/>
    </w:rPr>
  </w:style>
  <w:style w:type="paragraph" w:customStyle="1" w:styleId="19">
    <w:name w:val="Body Text3"/>
    <w:basedOn w:val="1"/>
    <w:link w:val="18"/>
    <w:qFormat/>
    <w:uiPriority w:val="0"/>
    <w:pPr>
      <w:widowControl w:val="0"/>
      <w:shd w:val="clear" w:color="auto" w:fill="FFFFFF"/>
      <w:spacing w:after="60" w:line="310" w:lineRule="exact"/>
      <w:ind w:hanging="1320"/>
      <w:jc w:val="center"/>
    </w:pPr>
    <w:rPr>
      <w:sz w:val="27"/>
      <w:szCs w:val="27"/>
    </w:rPr>
  </w:style>
  <w:style w:type="paragraph" w:customStyle="1" w:styleId="20">
    <w:name w:val="Char3"/>
    <w:basedOn w:val="1"/>
    <w:autoRedefine/>
    <w:uiPriority w:val="0"/>
    <w:pPr>
      <w:spacing w:after="160" w:line="240" w:lineRule="exact"/>
    </w:pPr>
    <w:rPr>
      <w:rFonts w:ascii="Verdana" w:hAnsi="Verdana" w:cs="Verdana"/>
      <w:sz w:val="20"/>
      <w:szCs w:val="20"/>
    </w:rPr>
  </w:style>
  <w:style w:type="paragraph" w:customStyle="1" w:styleId="21">
    <w:name w:val="Char2"/>
    <w:basedOn w:val="1"/>
    <w:autoRedefine/>
    <w:uiPriority w:val="0"/>
    <w:pPr>
      <w:spacing w:after="160" w:line="240" w:lineRule="exact"/>
    </w:pPr>
    <w:rPr>
      <w:rFonts w:ascii="Verdana" w:hAnsi="Verdana" w:cs="Verdana"/>
      <w:sz w:val="20"/>
      <w:szCs w:val="20"/>
    </w:rPr>
  </w:style>
  <w:style w:type="paragraph" w:customStyle="1" w:styleId="22">
    <w:name w:val="Char1"/>
    <w:basedOn w:val="1"/>
    <w:autoRedefine/>
    <w:uiPriority w:val="0"/>
    <w:pPr>
      <w:spacing w:after="160" w:line="240" w:lineRule="exact"/>
    </w:pPr>
    <w:rPr>
      <w:rFonts w:ascii="Verdana" w:hAnsi="Verdana" w:cs="Verdana"/>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3D6623-F5E3-4831-A444-FF35623C2005}">
  <ds:schemaRefs/>
</ds:datastoreItem>
</file>

<file path=docProps/app.xml><?xml version="1.0" encoding="utf-8"?>
<Properties xmlns="http://schemas.openxmlformats.org/officeDocument/2006/extended-properties" xmlns:vt="http://schemas.openxmlformats.org/officeDocument/2006/docPropsVTypes">
  <Template>Normal</Template>
  <Company>TH</Company>
  <Pages>26</Pages>
  <Words>5119</Words>
  <Characters>18143</Characters>
  <Lines>373</Lines>
  <Paragraphs>105</Paragraphs>
  <TotalTime>21</TotalTime>
  <ScaleCrop>false</ScaleCrop>
  <LinksUpToDate>false</LinksUpToDate>
  <CharactersWithSpaces>23174</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2026-10-19T01:41:00Z</dcterms:created>
  <dc:creator>Canh</dc:creator>
  <cp:lastModifiedBy>user</cp:lastModifiedBy>
  <cp:lastPrinted>2026-10-18T02:19:00Z</cp:lastPrinted>
  <dcterms:modified xsi:type="dcterms:W3CDTF">2026-10-20T08:04:47Z</dcterms:modified>
  <dc:title>HỘI ĐỒNG NHÂN DÂN</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7049F4FF78954097AE1D35AFEF4334D4_13</vt:lpwstr>
  </property>
</Properties>
</file>