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00" w:type="pct"/>
        <w:tblInd w:w="0" w:type="dxa"/>
        <w:tblLayout w:type="autofit"/>
        <w:tblCellMar>
          <w:top w:w="0" w:type="dxa"/>
          <w:left w:w="108" w:type="dxa"/>
          <w:bottom w:w="0" w:type="dxa"/>
          <w:right w:w="108" w:type="dxa"/>
        </w:tblCellMar>
      </w:tblPr>
      <w:tblGrid>
        <w:gridCol w:w="3193"/>
        <w:gridCol w:w="6095"/>
      </w:tblGrid>
      <w:tr w14:paraId="3C6E925F">
        <w:tblPrEx>
          <w:tblCellMar>
            <w:top w:w="0" w:type="dxa"/>
            <w:left w:w="108" w:type="dxa"/>
            <w:bottom w:w="0" w:type="dxa"/>
            <w:right w:w="108" w:type="dxa"/>
          </w:tblCellMar>
        </w:tblPrEx>
        <w:trPr>
          <w:trHeight w:val="708" w:hRule="atLeast"/>
        </w:trPr>
        <w:tc>
          <w:tcPr>
            <w:tcW w:w="1719" w:type="pct"/>
          </w:tcPr>
          <w:p w14:paraId="5E384AC5">
            <w:pPr>
              <w:widowControl w:val="0"/>
              <w:tabs>
                <w:tab w:val="right" w:leader="dot" w:pos="7920"/>
              </w:tabs>
              <w:ind w:left="-247"/>
              <w:jc w:val="center"/>
              <w:rPr>
                <w:bCs/>
                <w:sz w:val="26"/>
                <w:szCs w:val="26"/>
              </w:rPr>
            </w:pPr>
            <w:bookmarkStart w:id="5" w:name="_GoBack"/>
            <w:bookmarkEnd w:id="5"/>
            <w:r>
              <w:rPr>
                <w:bCs/>
                <w:sz w:val="26"/>
                <w:szCs w:val="26"/>
              </w:rPr>
              <w:t>UBDN TỈNH HÀ TĨNH</w:t>
            </w:r>
          </w:p>
          <w:p w14:paraId="309956C3">
            <w:pPr>
              <w:widowControl w:val="0"/>
              <w:tabs>
                <w:tab w:val="right" w:leader="dot" w:pos="7920"/>
              </w:tabs>
              <w:ind w:left="-247"/>
              <w:jc w:val="center"/>
              <w:rPr>
                <w:b/>
                <w:sz w:val="26"/>
                <w:szCs w:val="26"/>
                <w:vertAlign w:val="superscript"/>
              </w:rPr>
            </w:pPr>
            <w:r>
              <w:rPr>
                <w:b/>
                <w:sz w:val="26"/>
                <w:szCs w:val="26"/>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330200</wp:posOffset>
                      </wp:positionH>
                      <wp:positionV relativeFrom="paragraph">
                        <wp:posOffset>191135</wp:posOffset>
                      </wp:positionV>
                      <wp:extent cx="942975" cy="0"/>
                      <wp:effectExtent l="0" t="0" r="0" b="0"/>
                      <wp:wrapNone/>
                      <wp:docPr id="1208220106" name="Straight Connector 1"/>
                      <wp:cNvGraphicFramePr/>
                      <a:graphic xmlns:a="http://schemas.openxmlformats.org/drawingml/2006/main">
                        <a:graphicData uri="http://schemas.microsoft.com/office/word/2010/wordprocessingShape">
                          <wps:wsp>
                            <wps:cNvCnPr/>
                            <wps:spPr>
                              <a:xfrm>
                                <a:off x="0" y="0"/>
                                <a:ext cx="942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o:spt="20" style="position:absolute;left:0pt;margin-left:26pt;margin-top:15.05pt;height:0pt;width:74.25pt;z-index:251659264;mso-width-relative:page;mso-height-relative:page;" filled="f" stroked="t" coordsize="21600,21600" o:gfxdata="UEsDBAoAAAAAAIdO4kAAAAAAAAAAAAAAAAAEAAAAZHJzL1BLAwQUAAAACACHTuJApeOcM9UAAAAI&#10;AQAADwAAAGRycy9kb3ducmV2LnhtbE2PwU7DMBBE70j8g7WVuFE7RaVViNMDEgckJCDlwNGNt0lo&#10;vA62m4S/ZxEHOO7O6M1MsZtdL0YMsfOkIVsqEEi1tx01Gt72D9dbEDEZsqb3hBq+MMKuvLwoTG79&#10;RK84VqkRDKGYGw1tSkMuZaxbdCYu/YDE2tEHZxKfoZE2mInhrpcrpW6lMx1xQmsGvG+xPlVnxxTa&#10;fB7nPry/PD+122r6wMdxg1pfLTJ1ByLhnP7M8FOfq0PJnQ7+TDaKXsN6xVOShhuVgWCd09YgDr8P&#10;WRby/4DyG1BLAwQUAAAACACHTuJATmSwTtkBAAC8AwAADgAAAGRycy9lMm9Eb2MueG1srVPLbtsw&#10;ELwX6D8QvNey3cZ1BMs52EgvRWsg7QesKUoiwBd2Gcv++y4p59H0kkN1oEju7ixnONzcnZ0VJ41k&#10;gm/kYjaXQnsVWuP7Rv7+df9pLQUl8C3Y4HUjL5rk3fbjh80Ya70MQ7CtRsEgnuoxNnJIKdZVRWrQ&#10;DmgWovYc7AI6SLzEvmoRRkZ3tlrO56tqDNhGDEoT8e5+CsorIr4HMHSdUXof1KPTPk2oqC0kpkSD&#10;iSS35bRdp1X62XWkk7CNZKapjNyE58c8VtsN1D1CHIy6HgHec4Q3nBwYz02fofaQQDyi+QfKGYWB&#10;QpdmKrhqIlIUYRaL+RttHgaIunBhqSk+i07/D1b9OB1QmJadsJyvl/kQKyk8OL75h4Rg+iGJXfCe&#10;lQwoFlmwMVLNdTt/wOuK4gEz+3OHLv+ZlzgXkS/PIutzEoo3b78sb7/eSKGeQtVLXURK33RwIk8a&#10;aY3P9KGG03dK3ItTn1Lytg/3xtpyhdaLsZGrzzd8sQrYlh3bgacuMjXyvRRge/a7SlgQKVjT5uqM&#10;Q9gfdxbFCbJLypd5cre/0nLrPdAw5ZXQ5B9nEj8Ja1wj16+rrWeQrNakT54dQ3spspV9vtTS5mrA&#10;7JrX61L98ui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l45wz1QAAAAgBAAAPAAAAAAAAAAEA&#10;IAAAACIAAABkcnMvZG93bnJldi54bWxQSwECFAAUAAAACACHTuJATmSwTtkBAAC8AwAADgAAAAAA&#10;AAABACAAAAAkAQAAZHJzL2Uyb0RvYy54bWxQSwUGAAAAAAYABgBZAQAAbwUAAAAA&#10;">
                      <v:fill on="f" focussize="0,0"/>
                      <v:stroke weight="0.5pt" color="#000000 [3200]" miterlimit="8" joinstyle="miter"/>
                      <v:imagedata o:title=""/>
                      <o:lock v:ext="edit" aspectratio="f"/>
                    </v:line>
                  </w:pict>
                </mc:Fallback>
              </mc:AlternateContent>
            </w:r>
            <w:r>
              <w:rPr>
                <w:b/>
                <w:sz w:val="26"/>
                <w:szCs w:val="26"/>
              </w:rPr>
              <w:t>SỞ TÀI CHÍNH</w:t>
            </w:r>
          </w:p>
        </w:tc>
        <w:tc>
          <w:tcPr>
            <w:tcW w:w="3281" w:type="pct"/>
          </w:tcPr>
          <w:p w14:paraId="05A23F99">
            <w:pPr>
              <w:widowControl w:val="0"/>
              <w:tabs>
                <w:tab w:val="right" w:leader="dot" w:pos="7920"/>
              </w:tabs>
              <w:jc w:val="center"/>
              <w:rPr>
                <w:sz w:val="26"/>
                <w:szCs w:val="26"/>
                <w:vertAlign w:val="superscript"/>
              </w:rPr>
            </w:pPr>
            <w:r>
              <w:rPr>
                <w:b/>
                <w:sz w:val="26"/>
                <w:szCs w:val="26"/>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880110</wp:posOffset>
                      </wp:positionH>
                      <wp:positionV relativeFrom="paragraph">
                        <wp:posOffset>381000</wp:posOffset>
                      </wp:positionV>
                      <wp:extent cx="1771650" cy="0"/>
                      <wp:effectExtent l="0" t="0" r="0" b="0"/>
                      <wp:wrapNone/>
                      <wp:docPr id="1279610342" name="Straight Connector 2"/>
                      <wp:cNvGraphicFramePr/>
                      <a:graphic xmlns:a="http://schemas.openxmlformats.org/drawingml/2006/main">
                        <a:graphicData uri="http://schemas.microsoft.com/office/word/2010/wordprocessingShape">
                          <wps:wsp>
                            <wps:cNvCnPr/>
                            <wps:spPr>
                              <a:xfrm>
                                <a:off x="0" y="0"/>
                                <a:ext cx="1771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o:spt="20" style="position:absolute;left:0pt;margin-left:69.3pt;margin-top:30pt;height:0pt;width:139.5pt;z-index:251660288;mso-width-relative:page;mso-height-relative:page;" filled="f" stroked="t" coordsize="21600,21600" o:gfxdata="UEsDBAoAAAAAAIdO4kAAAAAAAAAAAAAAAAAEAAAAZHJzL1BLAwQUAAAACACHTuJA1XIj0NQAAAAJ&#10;AQAADwAAAGRycy9kb3ducmV2LnhtbE2PQU+EMBCF7yb+h2ZMvLktaoAgZQ8mHkxMVPTgsQuzwG47&#10;RdoF/PeO8aDH9+blzffK7eqsmHEKgycNyUaBQGp8O1Cn4f3t4SoHEaKh1lhPqOELA2yr87PSFK1f&#10;6BXnOnaCSygURkMf41hIGZoenQkbPyLxbe8nZyLLqZPtZBYud1ZeK5VKZwbiD70Z8b7H5lifHLdQ&#10;9rlf7fTx8vzU5/VywMc5Q60vLxJ1ByLiGv/C8IPP6FAx086fqA3Csr7JU45qSBVv4sBtkrGx+zVk&#10;Vcr/C6pvUEsDBBQAAAAIAIdO4kDphB5K2QEAAL0DAAAOAAAAZHJzL2Uyb0RvYy54bWytU8tu2zAQ&#10;vBfoPxC817Kd1kkFyznYSC9FayDtB6wpSiLAF3YZy/77LinHSdNLDtWBIne5s5zhcH1/clYcNZIJ&#10;vpGL2VwK7VVoje8b+fvXw6c7KSiBb8EGrxt51iTvNx8/rMdY62UYgm01CgbxVI+xkUNKsa4qUoN2&#10;QLMQtedkF9BB4iX2VYswMrqz1XI+X1VjwDZiUJqIo7spKS+I+B7A0HVG6V1QT077NKGitpCYEg0m&#10;ktyU03adVuln15FOwjaSmaYychOeH/JYbdZQ9whxMOpyBHjPEd5wcmA8N71C7SCBeELzD5QzCgOF&#10;Ls1UcNVEpCjCLBbzN9o8DhB14cJSU7yKTv8PVv047lGYlp2wvP26WsxvPi+l8OD45h8TgumHJLbB&#10;e1YyoFhmwcZINddt/R4vK4p7zOxPHbr8Z17iVEQ+X0XWpyQUBxe3t4vVF9ZfPeeql8KIlL7p4ESe&#10;NNIan/lDDcfvlLgZb33eksM+PBhryx1aL8ZGrm4KMrAvO/YDN3GRuZHvpQDbs+FVwoJIwZo2V2cc&#10;wv6wtSiOkG1SvkyUu/21LbfeAQ3TvpKaDORM4jdhjWvk3etq6xkkyzUJlGeH0J6LbiXOt1raXByY&#10;bfN6XapfXt3m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VyI9DUAAAACQEAAA8AAAAAAAAAAQAg&#10;AAAAIgAAAGRycy9kb3ducmV2LnhtbFBLAQIUABQAAAAIAIdO4kDphB5K2QEAAL0DAAAOAAAAAAAA&#10;AAEAIAAAACMBAABkcnMvZTJvRG9jLnhtbFBLBQYAAAAABgAGAFkBAABuBQAAAAA=&#10;">
                      <v:fill on="f" focussize="0,0"/>
                      <v:stroke weight="0.5pt" color="#000000 [3200]" miterlimit="8" joinstyle="miter"/>
                      <v:imagedata o:title=""/>
                      <o:lock v:ext="edit" aspectratio="f"/>
                    </v:line>
                  </w:pict>
                </mc:Fallback>
              </mc:AlternateContent>
            </w:r>
            <w:r>
              <w:rPr>
                <w:b/>
                <w:sz w:val="26"/>
                <w:szCs w:val="26"/>
              </w:rPr>
              <w:t>CỘNG HÒA XÃ HỘI CHỦ NGHĨA VIỆT NAM</w:t>
            </w:r>
            <w:r>
              <w:rPr>
                <w:b/>
                <w:sz w:val="26"/>
                <w:szCs w:val="26"/>
              </w:rPr>
              <w:br w:type="textWrapping"/>
            </w:r>
            <w:r>
              <w:rPr>
                <w:b/>
                <w:sz w:val="26"/>
                <w:szCs w:val="26"/>
              </w:rPr>
              <w:t xml:space="preserve">Độc lập - Tự do - Hạnh phúc </w:t>
            </w:r>
          </w:p>
        </w:tc>
      </w:tr>
      <w:tr w14:paraId="5DCE5E9F">
        <w:tblPrEx>
          <w:tblCellMar>
            <w:top w:w="0" w:type="dxa"/>
            <w:left w:w="108" w:type="dxa"/>
            <w:bottom w:w="0" w:type="dxa"/>
            <w:right w:w="108" w:type="dxa"/>
          </w:tblCellMar>
        </w:tblPrEx>
        <w:trPr>
          <w:trHeight w:val="341" w:hRule="atLeast"/>
        </w:trPr>
        <w:tc>
          <w:tcPr>
            <w:tcW w:w="1719" w:type="pct"/>
          </w:tcPr>
          <w:p w14:paraId="78F20C6B">
            <w:pPr>
              <w:widowControl w:val="0"/>
              <w:tabs>
                <w:tab w:val="right" w:leader="dot" w:pos="7920"/>
              </w:tabs>
              <w:jc w:val="center"/>
              <w:rPr>
                <w:sz w:val="26"/>
                <w:szCs w:val="26"/>
              </w:rPr>
            </w:pPr>
            <w:r>
              <w:t>Số:          /TTr-STC</w:t>
            </w:r>
          </w:p>
        </w:tc>
        <w:tc>
          <w:tcPr>
            <w:tcW w:w="3281" w:type="pct"/>
          </w:tcPr>
          <w:p w14:paraId="78D350C4">
            <w:pPr>
              <w:widowControl w:val="0"/>
              <w:tabs>
                <w:tab w:val="right" w:leader="dot" w:pos="7920"/>
              </w:tabs>
              <w:jc w:val="center"/>
              <w:rPr>
                <w:i/>
                <w:sz w:val="26"/>
                <w:szCs w:val="26"/>
              </w:rPr>
            </w:pPr>
            <w:r>
              <w:rPr>
                <w:i/>
              </w:rPr>
              <w:t>Hà Tĩnh, ngày    tháng   năm 2026</w:t>
            </w:r>
          </w:p>
        </w:tc>
      </w:tr>
    </w:tbl>
    <w:p w14:paraId="5110D77F">
      <w:pPr>
        <w:widowControl w:val="0"/>
        <w:tabs>
          <w:tab w:val="left" w:pos="2100"/>
        </w:tabs>
        <w:spacing w:line="420" w:lineRule="exact"/>
        <w:rPr>
          <w:sz w:val="2"/>
          <w:szCs w:val="2"/>
        </w:rPr>
      </w:pPr>
      <w:r>
        <w:rPr>
          <w:sz w:val="2"/>
          <w:szCs w:val="2"/>
        </w:rPr>
        <w:t>DỰ</w:t>
      </w:r>
      <w:r>
        <w:rPr>
          <w:sz w:val="2"/>
          <w:szCs w:val="2"/>
        </w:rPr>
        <w:tab/>
      </w:r>
      <w:r>
        <w:rPr>
          <w:sz w:val="2"/>
          <w:szCs w:val="2"/>
        </w:rPr>
        <w:t>DỰ</w:t>
      </w:r>
    </w:p>
    <w:p w14:paraId="0E2805E5">
      <w:pPr>
        <w:widowControl w:val="0"/>
        <w:tabs>
          <w:tab w:val="right" w:leader="dot" w:pos="7920"/>
        </w:tabs>
        <w:jc w:val="center"/>
        <w:rPr>
          <w:b/>
          <w:bCs/>
        </w:rPr>
      </w:pPr>
      <w:r>
        <w:rPr>
          <w:b/>
          <w:bCs/>
        </w:rPr>
        <w:t>TỜ TRÌNH</w:t>
      </w:r>
    </w:p>
    <w:p w14:paraId="3076E51B">
      <w:pPr>
        <w:jc w:val="center"/>
        <w:rPr>
          <w:b/>
        </w:rPr>
      </w:pPr>
      <w:r>
        <w:rPr>
          <w:b/>
        </w:rPr>
        <w:t xml:space="preserve">Về </w:t>
      </w:r>
      <w:r>
        <w:rPr>
          <w:b/>
          <w:bCs/>
        </w:rPr>
        <w:t>dự thảo Nghị quyết quy định về mức thu, miễn, giảm, thu, nộp, quản lý và sử dụng các khoản phí, lệ phí trên địa bàn tỉnh Hà Tĩnh</w:t>
      </w:r>
    </w:p>
    <w:p w14:paraId="5C3FF827">
      <w:r>
        <w:rPr>
          <w14:ligatures w14:val="standardContextual"/>
        </w:rPr>
        <mc:AlternateContent>
          <mc:Choice Requires="wps">
            <w:drawing>
              <wp:anchor distT="0" distB="0" distL="114300" distR="114300" simplePos="0" relativeHeight="251661312" behindDoc="0" locked="0" layoutInCell="1" allowOverlap="1">
                <wp:simplePos x="0" y="0"/>
                <wp:positionH relativeFrom="column">
                  <wp:posOffset>1828165</wp:posOffset>
                </wp:positionH>
                <wp:positionV relativeFrom="paragraph">
                  <wp:posOffset>80010</wp:posOffset>
                </wp:positionV>
                <wp:extent cx="2362200" cy="0"/>
                <wp:effectExtent l="0" t="0" r="0" b="0"/>
                <wp:wrapNone/>
                <wp:docPr id="582870305" name="Straight Connector 3"/>
                <wp:cNvGraphicFramePr/>
                <a:graphic xmlns:a="http://schemas.openxmlformats.org/drawingml/2006/main">
                  <a:graphicData uri="http://schemas.microsoft.com/office/word/2010/wordprocessingShape">
                    <wps:wsp>
                      <wps:cNvCnPr/>
                      <wps:spPr>
                        <a:xfrm>
                          <a:off x="0" y="0"/>
                          <a:ext cx="2362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o:spt="20" style="position:absolute;left:0pt;margin-left:143.95pt;margin-top:6.3pt;height:0pt;width:186pt;z-index:251661312;mso-width-relative:page;mso-height-relative:page;" filled="f" stroked="t" coordsize="21600,21600" o:gfxdata="UEsDBAoAAAAAAIdO4kAAAAAAAAAAAAAAAAAEAAAAZHJzL1BLAwQUAAAACACHTuJAaPBFM9UAAAAJ&#10;AQAADwAAAGRycy9kb3ducmV2LnhtbE2PQU+EMBCF7yb+h2ZMvLllSQQWKXsw8WBioqIHj12YBbSd&#10;YtsF/PeO8aDHee/Lm/eq/WqNmNGH0ZGC7SYBgdS6bqRewevL3VUBIkRNnTaOUMEXBtjX52eVLju3&#10;0DPOTewFh1AotYIhxqmUMrQDWh02bkJi7+i81ZFP38vO64XDrZFpkmTS6pH4w6AnvB2w/WhOllMo&#10;/zyuxr89PT4MRbO84/2co1KXF9vkBkTENf7B8FOfq0PNnQ7uRF0QRkFa5DtG2UgzEAxk1zsWDr+C&#10;rCv5f0H9DVBLAwQUAAAACACHTuJA90poYdgBAAC8AwAADgAAAGRycy9lMm9Eb2MueG1srVPLbtsw&#10;ELwXyD8QvNdSbNg1BMs52EguRWsg7QfQFCkR4Au7jGX/fZeU46TpJYfqQC33McsZLjcPZ2fZSQGa&#10;4Ft+P6s5U16Gzvi+5b9/PX5dc4ZJ+E7Y4FXLLwr5w/buy2aMjZqHIdhOASMQj80YWz6kFJuqQjko&#10;J3AWovIU1AGcSLSFvupAjITubDWv61U1BugiBKkQybufgvyKCJ8BDFobqfZBvjjl04QKyopElHAw&#10;Efm2nFZrJdNPrVElZltOTFNZqQnZx7xW241oehBxMPJ6BPGZI3zg5ITx1PQGtRdJsBcw/0A5IyFg&#10;0Gkmg6smIkURYnFff9DmeRBRFS4kNcab6Pj/YOWP0wGY6Vq+XM/X3+pFveTMC0cX/5xAmH5IbBe8&#10;JyEDsEXWa4zYUNnOH+C6w3iATP6sweU/0WLnovHlprE6JybJOV+s5jQGnMnXWPVWGAHTkwqOZaPl&#10;1vhMXzTi9B0TNaPU15Ts9uHRWFuu0Ho2tny1WGZkQWOpaRzIdJGooe85E7aneZcJCiIGa7pcnXEQ&#10;+uPOAjuJPCXly0Sp219pufVe4DDlldA0P84kehLWuJav31dbTyBZrkmgbB1Ddym6FT9damlzHcA8&#10;Ne/3pfrt0W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jwRTPVAAAACQEAAA8AAAAAAAAAAQAg&#10;AAAAIgAAAGRycy9kb3ducmV2LnhtbFBLAQIUABQAAAAIAIdO4kD3Smhh2AEAALwDAAAOAAAAAAAA&#10;AAEAIAAAACQBAABkcnMvZTJvRG9jLnhtbFBLBQYAAAAABgAGAFkBAABuBQAAAAA=&#10;">
                <v:fill on="f" focussize="0,0"/>
                <v:stroke weight="0.5pt" color="#000000 [3200]" miterlimit="8" joinstyle="miter"/>
                <v:imagedata o:title=""/>
                <o:lock v:ext="edit" aspectratio="f"/>
              </v:line>
            </w:pict>
          </mc:Fallback>
        </mc:AlternateContent>
      </w:r>
    </w:p>
    <w:p w14:paraId="1D1FC49D">
      <w:pPr>
        <w:tabs>
          <w:tab w:val="left" w:pos="405"/>
        </w:tabs>
        <w:rPr>
          <w:b/>
          <w:bCs/>
        </w:rPr>
      </w:pPr>
      <w:r>
        <w:rPr>
          <w:b/>
          <w:bCs/>
        </w:rPr>
        <w:tab/>
      </w:r>
    </w:p>
    <w:p w14:paraId="66C689B5">
      <w:pPr>
        <w:widowControl w:val="0"/>
        <w:tabs>
          <w:tab w:val="right" w:leader="dot" w:pos="7920"/>
        </w:tabs>
        <w:spacing w:line="420" w:lineRule="exact"/>
        <w:jc w:val="center"/>
      </w:pPr>
      <w:r>
        <w:t>Kính gửi: Uỷ ban nhân dân tỉnh</w:t>
      </w:r>
    </w:p>
    <w:p w14:paraId="699DDA50">
      <w:pPr>
        <w:widowControl w:val="0"/>
        <w:tabs>
          <w:tab w:val="right" w:leader="dot" w:pos="7920"/>
        </w:tabs>
        <w:spacing w:line="420" w:lineRule="exact"/>
        <w:jc w:val="center"/>
      </w:pPr>
      <w:r>
        <w:t xml:space="preserve">                </w:t>
      </w:r>
    </w:p>
    <w:p w14:paraId="67CD2F0A">
      <w:pPr>
        <w:spacing w:before="120"/>
        <w:ind w:firstLine="567"/>
        <w:jc w:val="both"/>
      </w:pPr>
      <w:r>
        <w:rPr>
          <w:rFonts w:eastAsia="Calibri"/>
          <w:color w:val="000000"/>
        </w:rPr>
        <w:tab/>
      </w:r>
      <w:r>
        <w:t xml:space="preserve">Thực hiện Luật Phí và lệ phí số 97/2015/QH13; Luật Ban hành văn bản quy phạm pháp luật số 64/2025/QH15 được sửa đổi, bổ sung bởi Luật số 87/2025/QH15; Nghị định số 78/2025/NĐ-CP ngày 01/4/2025 của Chính phủ được sửa đổi, bổ sung bởi Nghị định số 187/2025/NĐ-CP ngày 01/7/2025; Nghị định số 362/2025/NĐ-CP ngày 31/12/2025 của Chính phủ </w:t>
      </w:r>
      <w:bookmarkStart w:id="0" w:name="loai_1_name"/>
      <w:r>
        <w:t>quy định chi tiết một số điều và biện pháp để tổ chức, hướng dẫn thi hành Luật Phí và lệ phí</w:t>
      </w:r>
      <w:bookmarkEnd w:id="0"/>
      <w:r>
        <w:rPr>
          <w:rFonts w:eastAsia="Calibri"/>
          <w:color w:val="000000"/>
        </w:rPr>
        <w:t>;</w:t>
      </w:r>
      <w:r>
        <w:t xml:space="preserve"> chỉ đạo của UBND tỉnh tại các Văn bản số: 10704/UBND-TH</w:t>
      </w:r>
      <w:r>
        <w:rPr>
          <w:vertAlign w:val="subscript"/>
        </w:rPr>
        <w:t>5</w:t>
      </w:r>
      <w:r>
        <w:t xml:space="preserve"> ngày 18/10/2026, 11146/UBND-TH</w:t>
      </w:r>
      <w:r>
        <w:rPr>
          <w:vertAlign w:val="subscript"/>
        </w:rPr>
        <w:t>5</w:t>
      </w:r>
      <w:r>
        <w:t xml:space="preserve"> ngày 28/10/2026 về việc xây dựng Nghị quyết quy định về các khoản phí, lệ phí; trên cơ sở Báo cáo thẩm định số      /BC-STP ngày     /     /2026 của Sở Tư pháp, Sở Tài chính kính trình UBND tỉnh dự thảo Nghị quyết quy định về mức thu, miễn, giảm, thu, nộp, quản lý và sử dụng các khoản phí, lệ phí trên địa bàn tỉnh Hà Tĩnh với nội dung cụ thể như sau</w:t>
      </w:r>
      <w:r>
        <w:rPr>
          <w:rFonts w:eastAsia="Calibri"/>
          <w:color w:val="000000"/>
        </w:rPr>
        <w:t>:</w:t>
      </w:r>
    </w:p>
    <w:p w14:paraId="459275C3">
      <w:pPr>
        <w:spacing w:before="120"/>
        <w:ind w:firstLine="720"/>
        <w:jc w:val="both"/>
        <w:rPr>
          <w:rFonts w:eastAsia="Calibri"/>
          <w:color w:val="000000"/>
        </w:rPr>
      </w:pPr>
      <w:bookmarkStart w:id="1" w:name="_Hlk211239769"/>
      <w:r>
        <w:rPr>
          <w:b/>
        </w:rPr>
        <w:t>I. SỰ CẦN THIẾT BAN HÀNH VĂN BẢN</w:t>
      </w:r>
    </w:p>
    <w:p w14:paraId="1EBC9F98">
      <w:pPr>
        <w:spacing w:before="120"/>
        <w:ind w:firstLine="720"/>
        <w:jc w:val="both"/>
        <w:rPr>
          <w:rFonts w:eastAsia="Calibri"/>
          <w:color w:val="000000"/>
        </w:rPr>
      </w:pPr>
      <w:r>
        <w:rPr>
          <w:rFonts w:eastAsia="Calibri"/>
          <w:b/>
          <w:bCs/>
          <w:color w:val="000000"/>
        </w:rPr>
        <w:t>1. Tên gọi của Nghị quyết:</w:t>
      </w:r>
      <w:r>
        <w:rPr>
          <w:rFonts w:eastAsia="Calibri"/>
          <w:color w:val="000000"/>
        </w:rPr>
        <w:t xml:space="preserve"> </w:t>
      </w:r>
      <w:bookmarkStart w:id="2" w:name="_Hlk176982418"/>
      <w:r>
        <w:t>Nghị quyết quy định về mức thu, miễn, giảm, thu, nộp, quản lý và sử dụng các khoản phí, lệ phí trên địa bàn tỉnh Hà Tĩnh.</w:t>
      </w:r>
    </w:p>
    <w:bookmarkEnd w:id="2"/>
    <w:p w14:paraId="45435752">
      <w:pPr>
        <w:spacing w:before="120"/>
        <w:ind w:firstLine="720"/>
        <w:jc w:val="both"/>
        <w:rPr>
          <w:rFonts w:eastAsia="Calibri"/>
          <w:b/>
          <w:bCs/>
          <w:color w:val="000000"/>
        </w:rPr>
      </w:pPr>
      <w:r>
        <w:rPr>
          <w:rFonts w:eastAsia="Calibri"/>
          <w:b/>
          <w:bCs/>
          <w:color w:val="000000"/>
        </w:rPr>
        <w:t>2. Sự cần thiết ban hành:</w:t>
      </w:r>
    </w:p>
    <w:p w14:paraId="4379BB1B">
      <w:pPr>
        <w:spacing w:before="120"/>
        <w:ind w:firstLine="720"/>
        <w:jc w:val="both"/>
        <w:rPr>
          <w:rFonts w:eastAsia="Calibri"/>
          <w:b/>
          <w:bCs/>
          <w:color w:val="000000"/>
        </w:rPr>
      </w:pPr>
      <w:r>
        <w:rPr>
          <w:b/>
          <w:bCs/>
        </w:rPr>
        <w:t>2.1. Cơ sở pháp lý</w:t>
      </w:r>
    </w:p>
    <w:p w14:paraId="300BDE3D">
      <w:pPr>
        <w:spacing w:before="120"/>
        <w:ind w:firstLine="720"/>
        <w:jc w:val="both"/>
        <w:rPr>
          <w:rFonts w:eastAsia="Calibri"/>
          <w:b/>
          <w:bCs/>
          <w:color w:val="000000"/>
        </w:rPr>
      </w:pPr>
      <w:r>
        <w:t xml:space="preserve">Khoản 1 Điều 21 Luật Phí và lệ phí quy định HĐND cấp tỉnh </w:t>
      </w:r>
      <w:r>
        <w:rPr>
          <w:i/>
          <w:iCs/>
        </w:rPr>
        <w:t>“quyết định mức thu, miễn, giảm, thu, nộp, quản lý và sử dụng các khoản phí, lệ phí thuộc thẩm quyền”</w:t>
      </w:r>
      <w:r>
        <w:t>.</w:t>
      </w:r>
    </w:p>
    <w:p w14:paraId="5259A56C">
      <w:pPr>
        <w:spacing w:before="120"/>
        <w:ind w:firstLine="720"/>
        <w:jc w:val="both"/>
        <w:rPr>
          <w:rFonts w:eastAsia="Calibri"/>
          <w:b/>
          <w:bCs/>
          <w:color w:val="000000"/>
        </w:rPr>
      </w:pPr>
      <w:r>
        <w:t>Điểm a khoản 1 Điều 21 Luật Ban hành văn bản quy phạm pháp luật (được sửa đổi, bổ sung bởi Luật số 87/2025/QH15) quy định HĐND cấp tỉnh ban hành nghị quyết để quy định chi tiết điều, khoản, điểm và các nội dung khác được giao trong văn bản quy phạm pháp luật của cơ quan nhà nước cấp trên.</w:t>
      </w:r>
    </w:p>
    <w:p w14:paraId="542C0337">
      <w:pPr>
        <w:spacing w:before="120"/>
        <w:ind w:firstLine="720"/>
        <w:jc w:val="both"/>
        <w:rPr>
          <w:rFonts w:eastAsia="Calibri"/>
          <w:b/>
          <w:bCs/>
          <w:color w:val="000000"/>
        </w:rPr>
      </w:pPr>
      <w:r>
        <w:t>Nghị định số 362/2025/NĐ-CP có hiệu lực từ ngày 01/01/2026 và bãi bỏ Nghị định số 120/2016/NĐ-CP ngày 23/8/2016 và Nghị định số 82/2023/NĐ-CP ngày 28/11/2023 của Chính phủ (là căn cứ ban hành Nghị quyết số 253/2020/NQ-HĐND và các Nghị quyết sửa đổi, bổ sung). Theo khoản 2 Điều 7</w:t>
      </w:r>
      <w:r>
        <w:rPr>
          <w:rStyle w:val="6"/>
        </w:rPr>
        <w:footnoteReference w:id="0"/>
      </w:r>
      <w:r>
        <w:t xml:space="preserve"> Nghị định số 362/2025/NĐ-CP, UBND cấp tỉnh chỉ đạo cơ quan chuyên môn thẩm định đề án thu phí, lệ phí và trình HĐND cấp tỉnh quyết định.</w:t>
      </w:r>
    </w:p>
    <w:p w14:paraId="37842CCC">
      <w:pPr>
        <w:spacing w:before="120"/>
        <w:ind w:firstLine="720"/>
        <w:jc w:val="both"/>
        <w:rPr>
          <w:rFonts w:eastAsia="Calibri"/>
          <w:b/>
          <w:bCs/>
          <w:color w:val="000000"/>
        </w:rPr>
      </w:pPr>
      <w:r>
        <w:rPr>
          <w:rFonts w:eastAsia="Calibri"/>
          <w:b/>
          <w:bCs/>
          <w:color w:val="000000"/>
        </w:rPr>
        <w:t>2.</w:t>
      </w:r>
      <w:r>
        <w:rPr>
          <w:b/>
          <w:bCs/>
        </w:rPr>
        <w:t>2. Cơ sở thực tiễn</w:t>
      </w:r>
    </w:p>
    <w:p w14:paraId="64B76373">
      <w:pPr>
        <w:spacing w:before="120"/>
        <w:ind w:firstLine="720"/>
        <w:jc w:val="both"/>
        <w:rPr>
          <w:rFonts w:eastAsia="Calibri"/>
          <w:b/>
          <w:bCs/>
          <w:color w:val="000000"/>
        </w:rPr>
      </w:pPr>
      <w:r>
        <w:t>Thực hiện Luật Phí và lệ phí, HĐND tỉnh đã ban hành Nghị quyết số 253/2020/NQ-HĐND ngày 08/12/2020 quy định về mức thu, miễn, giảm, thu, nộp, quản lý và sử dụng các khoản phí, lệ phí trên địa bàn tỉnh Hà Tĩnh. Sau 05 năm thực hiện, Nghị quyết đã được sửa đổi, bổ sung bởi 06 Nghị quyết (trong đó 02 Nghị quyết đã bị bãi bỏ). Các quy định về phí, lệ phí nằm rải rác tại nhiều văn bản; một số điểm, khoản đã bị bãi bỏ nhưng vẫn còn trong cấu trúc văn bản, gây khó khăn cho tổ chức thu và người nộp phí, lệ phí trong việc tra cứu, áp dụng.</w:t>
      </w:r>
    </w:p>
    <w:p w14:paraId="6A6F2EB5">
      <w:pPr>
        <w:spacing w:before="120"/>
        <w:ind w:firstLine="720"/>
        <w:jc w:val="both"/>
        <w:rPr>
          <w:rFonts w:eastAsia="Calibri"/>
          <w:b/>
          <w:bCs/>
          <w:color w:val="000000"/>
        </w:rPr>
      </w:pPr>
      <w:r>
        <w:t>Việc sắp xếp tổ chức bộ máy và tổ chức chính quyền địa phương 02 cấp từ ngày 01/7/2025 đã làm thay đổi tên gọi, chức năng của nhiều cơ quan, đơn vị tổ chức thu (Sở Tài nguyên và Môi trường, Sở Nông nghiệp và Phát triển nông thôn hợp nhất thành Sở Nông nghiệp và Môi trường; nhiệm vụ của Sở Lao động, Thương binh và Xã hội chuyển về Sở Nội vụ; nhiệm vụ của Ủy ban nhân dân cấp huyện chuyển về Ủy ban nhân dân cấp xã). Nghị quyết số 172/2025/NQ-HĐND đã cập nhật một phần, song một số nội dung chưa được đồng bộ.</w:t>
      </w:r>
    </w:p>
    <w:p w14:paraId="465FC03A">
      <w:pPr>
        <w:spacing w:before="120"/>
        <w:ind w:firstLine="720"/>
        <w:jc w:val="both"/>
        <w:rPr>
          <w:rFonts w:eastAsia="Calibri"/>
          <w:b/>
          <w:bCs/>
          <w:color w:val="000000"/>
        </w:rPr>
      </w:pPr>
      <w:r>
        <w:t>Mặt khác, các căn cứ ban hành Nghị quyết số 253/2020/NQ-HĐND và các Nghị quyết sửa đổi, bổ sung (Nghị định số 120/2016/NĐ-CP, Nghị định số 82/2023/NĐ-CP) đã hết hiệu lực từ ngày 01/01/2026. UBND tỉnh đã chỉ đạo xây dựng 01 Nghị quyết chung thay thế các Nghị quyết hiện hành tại Văn bản số 10436/UBND-TH</w:t>
      </w:r>
      <w:r>
        <w:rPr>
          <w:vertAlign w:val="subscript"/>
        </w:rPr>
        <w:t>1</w:t>
      </w:r>
      <w:r>
        <w:t xml:space="preserve"> ngày 12/10/2026 và Văn bản số 10704/UBND-TH</w:t>
      </w:r>
      <w:r>
        <w:rPr>
          <w:vertAlign w:val="subscript"/>
        </w:rPr>
        <w:t>5</w:t>
      </w:r>
      <w:r>
        <w:t xml:space="preserve"> ngày 18/10/2026.</w:t>
      </w:r>
    </w:p>
    <w:p w14:paraId="625E4F2E">
      <w:pPr>
        <w:spacing w:before="120"/>
        <w:ind w:firstLine="720"/>
        <w:jc w:val="both"/>
        <w:rPr>
          <w:rFonts w:eastAsia="Calibri"/>
          <w:b/>
          <w:bCs/>
          <w:color w:val="000000"/>
        </w:rPr>
      </w:pPr>
      <w:r>
        <w:t>Vì vậy, việc ban hành Nghị quyết quy định về mức thu, miễn, giảm, thu, nộp, quản lý và sử dụng các khoản phí, lệ phí trên địa bàn tỉnh Hà Tĩnh để thay thế Nghị quyết số 253/2020/NQ-HĐND và các Nghị quyết sửa đổi, bổ sung là cần thiết, đúng thẩm quyền.</w:t>
      </w:r>
    </w:p>
    <w:p w14:paraId="571076F2">
      <w:pPr>
        <w:spacing w:before="120"/>
        <w:ind w:firstLine="720"/>
        <w:jc w:val="both"/>
        <w:rPr>
          <w:rFonts w:eastAsia="Calibri"/>
          <w:b/>
          <w:bCs/>
          <w:color w:val="000000"/>
        </w:rPr>
      </w:pPr>
      <w:r>
        <w:rPr>
          <w:b/>
          <w:lang w:val="nl-NL"/>
        </w:rPr>
        <w:t>II. MỤC ĐÍCH, QUAN ĐIỂM XÂY DỰNG NGHỊ QUYẾT</w:t>
      </w:r>
    </w:p>
    <w:p w14:paraId="2DAFF696">
      <w:pPr>
        <w:spacing w:before="120"/>
        <w:ind w:firstLine="720"/>
        <w:jc w:val="both"/>
        <w:rPr>
          <w:lang w:val="nl-NL"/>
        </w:rPr>
      </w:pPr>
      <w:r>
        <w:rPr>
          <w:b/>
          <w:lang w:val="nl-NL"/>
        </w:rPr>
        <w:t xml:space="preserve">1. Mục đích: </w:t>
      </w:r>
      <w:r>
        <w:t>Hệ thống hóa, hợp nhất các quy định về phí, lệ phí thuộc thẩm quyền của Hội đồng nhân dân tỉnh vào một Nghị quyết; cập nhật căn cứ pháp lý, tên cơ quan, đơn vị tổ chức thu phù hợp với tổ chức bộ máy hiện hành, tạo thuận lợi cho việc tra cứu, áp dụng.</w:t>
      </w:r>
    </w:p>
    <w:p w14:paraId="529395B5">
      <w:pPr>
        <w:spacing w:before="120"/>
        <w:jc w:val="both"/>
        <w:rPr>
          <w:lang w:val="nl-NL"/>
        </w:rPr>
      </w:pPr>
      <w:r>
        <w:rPr>
          <w:b/>
          <w:lang w:val="nl-NL"/>
        </w:rPr>
        <w:tab/>
      </w:r>
      <w:r>
        <w:rPr>
          <w:b/>
          <w:lang w:val="nl-NL"/>
        </w:rPr>
        <w:t>2. Quan điểm:</w:t>
      </w:r>
      <w:r>
        <w:rPr>
          <w:lang w:val="nl-NL"/>
        </w:rPr>
        <w:t xml:space="preserve"> </w:t>
      </w:r>
      <w:r>
        <w:t>Bảo đảm đúng thẩm quyền, trình tự, thủ tục theo Luật Ban hành văn bản quy phạm pháp luật; kế thừa mức thu, đối tượng miễn, giảm, chế độ thu, nộp, quản lý và sử dụng phí, lệ phí đang thực hiện; chỉ điều chỉnh một số nội dung về đối tượng nộp phí, đơn vị tổ chức thu đảm bảo phù hợp với quy định hiện hành; không làm phát sinh nghĩa vụ tài chính mới đối với tổ chức, cá nhân và không làm thay đổi cơ chế quản lý nguồn thu.</w:t>
      </w:r>
    </w:p>
    <w:p w14:paraId="02E329F5">
      <w:pPr>
        <w:spacing w:before="120"/>
        <w:jc w:val="both"/>
        <w:rPr>
          <w:b/>
          <w:bCs/>
          <w:lang w:val="nl-NL"/>
        </w:rPr>
      </w:pPr>
      <w:r>
        <w:rPr>
          <w:lang w:val="nl-NL"/>
        </w:rPr>
        <w:tab/>
      </w:r>
      <w:r>
        <w:rPr>
          <w:b/>
          <w:bCs/>
          <w:lang w:val="nl-NL"/>
        </w:rPr>
        <w:t>III. QUÁ TRÌNH XÂY DỰNG DỰ THẢO NGHỊ QUYẾT</w:t>
      </w:r>
    </w:p>
    <w:p w14:paraId="5FCD5061">
      <w:pPr>
        <w:spacing w:before="120"/>
        <w:ind w:firstLine="709"/>
        <w:jc w:val="both"/>
        <w:rPr>
          <w:lang w:val="nl-NL"/>
        </w:rPr>
      </w:pPr>
      <w:r>
        <w:rPr>
          <w:bCs/>
          <w:lang w:val="nl-NL"/>
        </w:rPr>
        <w:t>1.</w:t>
      </w:r>
      <w:r>
        <w:rPr>
          <w:b/>
          <w:lang w:val="nl-NL"/>
        </w:rPr>
        <w:t xml:space="preserve"> </w:t>
      </w:r>
      <w:r>
        <w:t>Thực hiện chỉ đạo của UBND tỉnh tại các Văn bản số 6868/UBND-TH</w:t>
      </w:r>
      <w:r>
        <w:rPr>
          <w:vertAlign w:val="subscript"/>
        </w:rPr>
        <w:t>5</w:t>
      </w:r>
      <w:r>
        <w:t xml:space="preserve"> ngày 14/7/2026, số 9320/UBND-TH</w:t>
      </w:r>
      <w:r>
        <w:rPr>
          <w:vertAlign w:val="subscript"/>
        </w:rPr>
        <w:t>5</w:t>
      </w:r>
      <w:r>
        <w:t xml:space="preserve"> ngày 15/9/2026, số 10436/UBND-TH1 ngày 12/10/2026 và số 10704/UBND-TH</w:t>
      </w:r>
      <w:r>
        <w:rPr>
          <w:vertAlign w:val="subscript"/>
        </w:rPr>
        <w:t>5</w:t>
      </w:r>
      <w:r>
        <w:t xml:space="preserve"> ngày 18/10/2026, các cơ quan, đơn vị đã xây dựng, thẩm định đề án thu phí, lệ phí theo phân công. Ngày 14/10/2026, Sở Tài chính đã chủ trì, phối hợp với các sở, ngành rà soát, thống nhất phương án xây dựng Nghị quyết chung; Ủy ban nhân dân tỉnh đã có Tờ trình số 761/TTr-UBND ngày 23/10/2026 đăng ký xây dựng Nghị quyết và được Thường trực Hội đồng nhân dân tỉnh thống nhất tại Văn bản số      /HĐND ngày     /     /2026.</w:t>
      </w:r>
    </w:p>
    <w:p w14:paraId="629171CE">
      <w:pPr>
        <w:spacing w:before="120"/>
        <w:ind w:firstLine="720"/>
        <w:jc w:val="both"/>
        <w:rPr>
          <w:lang w:val="nl-NL"/>
        </w:rPr>
      </w:pPr>
      <w:r>
        <w:rPr>
          <w:bCs/>
          <w:lang w:val="nl-NL"/>
        </w:rPr>
        <w:t>2.</w:t>
      </w:r>
      <w:r>
        <w:rPr>
          <w:lang w:val="nl-NL"/>
        </w:rPr>
        <w:t xml:space="preserve"> </w:t>
      </w:r>
      <w:r>
        <w:t>Sở Tài chính đã tổ chức làm việc và thống nhất với các tổ chức xây dựng đề án, cơ quan được giao thẩm định đề án thu phí, lệ phí về việc giữ nguyên mức thu, chế độ thu, nộp, quản lý và sử dụng các khoản phí, lệ phí theo quy định hiện hành, đồng thời thống nhất điều chỉnh một số nội dung về đối tượng nộp phí, đối tượng miễn và đơn vị tổ chức thu; trên cơ sở đó, xây dựng dự thảo Nghị quyết; lấy ý kiến các cơ quan, đơn vị, địa phương, đối tượng chịu sự tác động tại Văn bản số      /STC-GCS ngày     /     /2026 và đăng tải hồ sơ dự thảo trên Cổng Thông tin điện tử tỉnh.</w:t>
      </w:r>
    </w:p>
    <w:p w14:paraId="00C7D125">
      <w:pPr>
        <w:spacing w:before="120"/>
        <w:ind w:firstLine="669"/>
        <w:jc w:val="both"/>
        <w:rPr>
          <w:lang w:val="it-IT"/>
        </w:rPr>
      </w:pPr>
      <w:r>
        <w:rPr>
          <w:bCs/>
          <w:lang w:val="it-IT"/>
        </w:rPr>
        <w:t>3.</w:t>
      </w:r>
      <w:r>
        <w:rPr>
          <w:lang w:val="it-IT"/>
        </w:rPr>
        <w:t xml:space="preserve"> Tiếp thu ý kiến tham gia của cơ quan đơn vị trên địa bàn Tĩnh Hà Tĩnh, Sở Tài chính hoàn thiện dự thảo văn bản, gửi Sở Tư pháp đề nghị thẩm định dự thảo văn bản tại công văn số     /STC-GCS ngày    /11/2026.</w:t>
      </w:r>
    </w:p>
    <w:p w14:paraId="0CAF1BBC">
      <w:pPr>
        <w:spacing w:before="120"/>
        <w:ind w:firstLine="669"/>
        <w:jc w:val="both"/>
        <w:rPr>
          <w:lang w:val="it-IT"/>
        </w:rPr>
      </w:pPr>
      <w:r>
        <w:rPr>
          <w:bCs/>
          <w:lang w:val="it-IT"/>
        </w:rPr>
        <w:t>4.</w:t>
      </w:r>
      <w:r>
        <w:rPr>
          <w:lang w:val="it-IT"/>
        </w:rPr>
        <w:t xml:space="preserve"> Sở Tư pháp đã có Báo cáo thẩm định số     /BC-STP ngày    /11/2025 về việc thẩm định dự thảo </w:t>
      </w:r>
      <w:r>
        <w:rPr>
          <w:color w:val="000000"/>
          <w:spacing w:val="-2"/>
          <w:lang w:val="it-IT"/>
        </w:rPr>
        <w:t xml:space="preserve">Nghị quyết </w:t>
      </w:r>
      <w:r>
        <w:rPr>
          <w:lang w:val="es-HN"/>
        </w:rPr>
        <w:t>của HĐND tỉnh</w:t>
      </w:r>
      <w:r>
        <w:rPr>
          <w:lang w:val="it-IT"/>
        </w:rPr>
        <w:t>.</w:t>
      </w:r>
    </w:p>
    <w:p w14:paraId="34C7C3FB">
      <w:pPr>
        <w:spacing w:before="120"/>
        <w:ind w:firstLine="669"/>
        <w:jc w:val="both"/>
        <w:rPr>
          <w:lang w:val="it-IT"/>
        </w:rPr>
      </w:pPr>
      <w:r>
        <w:rPr>
          <w:bCs/>
          <w:lang w:val="it-IT"/>
        </w:rPr>
        <w:t>5.</w:t>
      </w:r>
      <w:r>
        <w:rPr>
          <w:lang w:val="it-IT"/>
        </w:rPr>
        <w:t xml:space="preserve"> Quy trình xây dựng văn bản quy phạm pháp luật đúng quy định của pháp luật, đảm bảo đủ điều kiện tham mưu UBND tỉnh trình HĐND tỉnh.</w:t>
      </w:r>
    </w:p>
    <w:p w14:paraId="6EB63A80">
      <w:pPr>
        <w:widowControl w:val="0"/>
        <w:spacing w:before="120"/>
        <w:ind w:firstLine="720"/>
        <w:jc w:val="both"/>
        <w:rPr>
          <w:b/>
          <w:lang w:val="nl-NL"/>
        </w:rPr>
      </w:pPr>
      <w:r>
        <w:rPr>
          <w:b/>
          <w:lang w:val="nl-NL"/>
        </w:rPr>
        <w:t>III. BỐ CỤC VÀ NỘI DUNG CƠ BẢN CỦA DỰ THẢO NGHỊ QUYẾT</w:t>
      </w:r>
    </w:p>
    <w:p w14:paraId="5FEF3F8A">
      <w:pPr>
        <w:widowControl w:val="0"/>
        <w:spacing w:before="120"/>
        <w:ind w:firstLine="720"/>
        <w:jc w:val="both"/>
        <w:rPr>
          <w:b/>
          <w:lang w:val="nl-NL"/>
        </w:rPr>
      </w:pPr>
      <w:r>
        <w:rPr>
          <w:b/>
          <w:lang w:val="nl-NL"/>
        </w:rPr>
        <w:t>1. Phạm vi điều chỉnh, đối tượng áp dụng</w:t>
      </w:r>
    </w:p>
    <w:p w14:paraId="78657D1A">
      <w:pPr>
        <w:widowControl w:val="0"/>
        <w:spacing w:before="120"/>
        <w:ind w:firstLine="720"/>
        <w:jc w:val="both"/>
        <w:rPr>
          <w:b/>
          <w:lang w:val="nl-NL"/>
        </w:rPr>
      </w:pPr>
      <w:r>
        <w:rPr>
          <w:b/>
          <w:lang w:val="nl-NL"/>
        </w:rPr>
        <w:t xml:space="preserve">a) Phạm vi điều chỉnh: </w:t>
      </w:r>
      <w:r>
        <w:t>Quy định về mức thu, miễn, giảm, thu, nộp, quản lý và sử dụng các khoản phí, lệ phí thuộc thẩm quyền của Hội đồng nhân dân tỉnh trên địa bàn tỉnh Hà Tĩnh, gồm 13 khoản phí và 05 khoản lệ phí</w:t>
      </w:r>
      <w:r>
        <w:rPr>
          <w:lang w:val="nl-NL"/>
        </w:rPr>
        <w:t>.</w:t>
      </w:r>
    </w:p>
    <w:p w14:paraId="687D44D4">
      <w:pPr>
        <w:widowControl w:val="0"/>
        <w:spacing w:before="120"/>
        <w:ind w:firstLine="720"/>
        <w:jc w:val="both"/>
        <w:rPr>
          <w:b/>
          <w:lang w:val="nl-NL"/>
        </w:rPr>
      </w:pPr>
      <w:r>
        <w:rPr>
          <w:b/>
          <w:lang w:val="nl-NL"/>
        </w:rPr>
        <w:t xml:space="preserve">b) Đối tượng áp dụng: </w:t>
      </w:r>
      <w:r>
        <w:t>Cơ quan nhà nước, đơn vị sự nghiệp công lập và tổ chức, cá nhân liên quan đến thu, nộp, quản lý và sử dụng phí, lệ phí</w:t>
      </w:r>
      <w:r>
        <w:rPr>
          <w:lang w:val="nl-NL"/>
        </w:rPr>
        <w:t>.</w:t>
      </w:r>
    </w:p>
    <w:p w14:paraId="28C678EC">
      <w:pPr>
        <w:widowControl w:val="0"/>
        <w:spacing w:before="120"/>
        <w:ind w:firstLine="720"/>
        <w:jc w:val="both"/>
        <w:rPr>
          <w:b/>
          <w:bCs/>
          <w:lang w:val="nl-NL"/>
        </w:rPr>
      </w:pPr>
      <w:r>
        <w:rPr>
          <w:b/>
          <w:bCs/>
          <w:lang w:val="nl-NL"/>
        </w:rPr>
        <w:t xml:space="preserve">2. Bố cục của dự thảo Nghị quyết: </w:t>
      </w:r>
      <w:r>
        <w:t>Dự thảo Nghị quyết gồm 03 Chương, 09 Điều</w:t>
      </w:r>
      <w:r>
        <w:rPr>
          <w:lang w:val="nl-NL"/>
        </w:rPr>
        <w:t>, được xây dựng theo Mẫu số 17 Phụ lục I ban hành kèm theo Nghị định số 78/2025/NĐ-CP ngày 1/4/2025 của Chính phủ.</w:t>
      </w:r>
    </w:p>
    <w:p w14:paraId="6119AB88">
      <w:pPr>
        <w:widowControl w:val="0"/>
        <w:spacing w:before="120"/>
        <w:ind w:firstLine="720"/>
        <w:jc w:val="both"/>
        <w:rPr>
          <w:b/>
          <w:bCs/>
          <w:lang w:val="nl-NL"/>
        </w:rPr>
      </w:pPr>
      <w:r>
        <w:rPr>
          <w:b/>
          <w:lang w:val="nl-NL"/>
        </w:rPr>
        <w:t>IV. MỤC TIÊU, NỘI DUNG CỦA CHÍNH SÁCH TRONG ĐỀ NGHỊ XÂY DỰNG NGHỊ QUYẾT</w:t>
      </w:r>
    </w:p>
    <w:p w14:paraId="30D66A48">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b/>
          <w:lang w:val="nl-NL"/>
        </w:rPr>
        <w:t xml:space="preserve">1. Mục tiêu của đề nghị xây dựng Nghị quyết: </w:t>
      </w:r>
    </w:p>
    <w:p w14:paraId="2CB818E2">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lang w:val="nl-NL"/>
        </w:rPr>
        <w:t xml:space="preserve">Để đảm bảo phù hợp với các quy định của pháp luật hiện hành, các ý kiến chỉ đạo của các cơ quan đơn vị cấp trên. </w:t>
      </w:r>
      <w:r>
        <w:rPr>
          <w:lang w:val="vi-VN"/>
        </w:rPr>
        <w:t xml:space="preserve">Tạo lập cơ sở pháp lý để </w:t>
      </w:r>
      <w:r>
        <w:rPr>
          <w:lang w:val="nl-NL"/>
        </w:rPr>
        <w:t>các cơ quan đơn vị thực hiện thu phí, lệ phí đảm bảo đúng quy định, công bằng, công khai, minh bạch, hiệu quả.</w:t>
      </w:r>
    </w:p>
    <w:p w14:paraId="2D9F6FF1">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b/>
          <w:bCs/>
          <w:lang w:val="nl-NL"/>
        </w:rPr>
        <w:t>2. Nội dung của Nghị Quyết:</w:t>
      </w:r>
    </w:p>
    <w:p w14:paraId="58964239">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t>a) Kế thừa các quy định hiện hành về mức thu, đối tượng nộp, đối tượng miễn, giảm, tỷ lệ để lại và chế độ thu, nộp, quản lý, sử dụng của 13 khoản phí (Điều 5) và 05 khoản lệ phí (Điều 6) đang có hiệu lực theo Nghị quyết số 253/2020/NQ-HĐND và các Nghị quyết sửa đổi, bổ sung, trừ các nội dung điều chỉnh tại điểm đ khoản này.</w:t>
      </w:r>
    </w:p>
    <w:p w14:paraId="17775E19">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t>b) Cập nhật căn cứ ban hành; tên cơ quan, đơn vị tổ chức thu, tên đơn vị hành chính theo tổ chức bộ máy hiện hành; sắp xếp lại số thứ tự các điểm, khoản.</w:t>
      </w:r>
    </w:p>
    <w:p w14:paraId="5961B34E">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t>c) Không quy định lại các khoản phí, lệ phí đã bị bãi bỏ (phí sử dụng công trình kết cấu hạ tầng trong khu vực Cửa khẩu quốc tế Cầu Treo; phí thẩm định đề án xả nước thải vào nguồn nước, công trình thủy lợi; lệ phí đăng ký cư trú; lệ phí cấp chứng minh nhân dân) và các nội dung đã bị bãi bỏ tại các Nghị quyết sửa đổi, bổ sung.</w:t>
      </w:r>
    </w:p>
    <w:p w14:paraId="1428A974">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t>d) Nghị quyết thay thế Nghị quyết số 253/2020/NQ-HĐND và các Nghị quyết của Hội đồng nhân dân tỉnh: số 14/2021/NQ-HĐND ngày 17/7/2021, số 52/2021/NQ-HĐND ngày 16/12/2021, số 69/2022/NQ-HĐND ngày 15/7/2022, số 101/2023/NQ-HĐND ngày 14/7/2023, số 136/2024/NQ-HĐND ngày 13/12/2024 và số 172/2025/NQ-HĐND ngày 10/12/2025; có hiệu lực từ ngày 01/01/2027, bảo đảm không sớm hơn 10 ngày kể từ ngày thông qua theo khoản 1 Điều 53 Luật Ban hành văn bản quy phạm pháp luật.</w:t>
      </w:r>
    </w:p>
    <w:p w14:paraId="76F9931D">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t>đ) Điều chỉnh một số nội dung về tổ chức thu phí, đối tượng nộp phí đối với một số khoản phí, lệ phí, cụ thể:</w:t>
      </w:r>
    </w:p>
    <w:p w14:paraId="5BA5EB26">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t xml:space="preserve">(1) Đối với phí thẩm định hồ sơ cấp giấy chứng nhận quyền sử dụng đất và lệ phí cấp giấy chứng nhận quyền sử dụng đất, quyền sở hữu nhà, tài sản gắn liền với đất: Sở Tài chính điều chỉnh lại tên một số đối tượng nộp phí bao gồm: tổ chức tôn giáo, tổ chức tôn giáo trực thuộc; người gốc Việt Nam định cư ở nước ngoài; tổ chức kinh tế có vốn đầu tư nước ngoài. </w:t>
      </w:r>
    </w:p>
    <w:p w14:paraId="4E1EF55C">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rPr>
          <w:b/>
          <w:bCs/>
          <w:i/>
          <w:iCs/>
        </w:rPr>
        <w:t>Cơ sở đề xuất:</w:t>
      </w:r>
      <w:r>
        <w:t xml:space="preserve"> để đảm bảo phù hợp quy định về người sử dụng đất tại khoản 2, khoản 6, khoản 7 Điều 4</w:t>
      </w:r>
      <w:r>
        <w:rPr>
          <w:rStyle w:val="6"/>
        </w:rPr>
        <w:footnoteReference w:id="1"/>
      </w:r>
      <w:r>
        <w:t xml:space="preserve"> Luật Đất đai năm 2024</w:t>
      </w:r>
      <w:r>
        <w:rPr>
          <w:lang w:val="nl-NL"/>
        </w:rPr>
        <w:t>.</w:t>
      </w:r>
    </w:p>
    <w:p w14:paraId="5D0FBB40">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t>(2) Đối với phí thăm quan danh lam thắng cảnh, Sở Tài chính cập nhật đơn vị tổ chức thu phí là Trung tâm Dịch vụ tổng hợp xã Can Lộc theo phân công quản lý Khu danh thắng Hương Tích.</w:t>
      </w:r>
    </w:p>
    <w:p w14:paraId="3B14D23D">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b/>
          <w:bCs/>
          <w:i/>
          <w:iCs/>
        </w:rPr>
        <w:t>Cơ sở đề xuất:</w:t>
      </w:r>
      <w:r>
        <w:t xml:space="preserve"> Trung tâm Dịch vụ tổng hợp xã Can Lộc được UBND xã Can Lộc giao nhiệm vụ quản lý Khu danh thắng Hương Tích.</w:t>
      </w:r>
    </w:p>
    <w:p w14:paraId="7AD07F3D">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b/>
          <w:bCs/>
          <w:lang w:val="nl-NL"/>
        </w:rPr>
        <w:t>3. Giải pháp thực hiện:</w:t>
      </w:r>
    </w:p>
    <w:p w14:paraId="2BAE47E3">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lang w:val="nl-NL"/>
        </w:rPr>
        <w:t>Căn cứ Nghị quyết của HĐND tỉnh, UBND tỉnh sẽ giao cho các cơ quan, tổ chức thu phí, lệ phí thực hiện và hướng dẫn cho tổ chức, cá nhân nộp phí, lệ phí đảm bảo bảo thực hiện theo đúng quy định, công khai, minh bạch.</w:t>
      </w:r>
    </w:p>
    <w:p w14:paraId="5808ABB3">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b/>
          <w:lang w:val="nl-NL"/>
        </w:rPr>
        <w:t>V. DỰ KIẾN NGUỒN LỰC, ĐIỀU KIỆN BẢO ĐẢM CHO VIỆC THI HÀNH NGHỊ QUYẾT SAU KHI ĐƯỢC THÔNG QUA</w:t>
      </w:r>
    </w:p>
    <w:p w14:paraId="5FAFE2DE">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bCs/>
          <w:lang w:val="nl-NL"/>
        </w:rPr>
        <w:t>Nguồn lực các cơ quan, đơn vị đã được giao nhiệm vụ thu phí, lệ phí bố trí nguồn nhân lực (con người, máy móc, trang thiết bị..), các điều kiện đảm bảo cho việc thi hành khi Nghị Quyết được thông qua.</w:t>
      </w:r>
    </w:p>
    <w:p w14:paraId="799F4D9D">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lang w:val="nl-NL"/>
        </w:rPr>
      </w:pPr>
      <w:r>
        <w:rPr>
          <w:b/>
          <w:lang w:val="nl-NL"/>
        </w:rPr>
        <w:t>VI. THỜI GIAN DỰ KIẾN TRÌNH THÔNG QUA NGHỊ QUYẾT</w:t>
      </w:r>
    </w:p>
    <w:p w14:paraId="6F71809C">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lang w:val="nl-NL"/>
        </w:rPr>
      </w:pPr>
      <w:r>
        <w:rPr>
          <w:color w:val="000000"/>
          <w:lang w:val="nl-NL"/>
        </w:rPr>
        <w:t>Kỳ họp HĐND tỉnh cuối năm 2026.</w:t>
      </w:r>
    </w:p>
    <w:p w14:paraId="705FD52F">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lang w:val="nl-NL"/>
        </w:rPr>
      </w:pPr>
      <w:r>
        <w:rPr>
          <w:color w:val="000000"/>
          <w:lang w:val="nl-NL"/>
        </w:rPr>
        <w:t>Thời gian thực hiện:</w:t>
      </w:r>
      <w:r>
        <w:rPr>
          <w:b/>
          <w:bCs/>
          <w:color w:val="000000"/>
          <w:lang w:val="nl-NL"/>
        </w:rPr>
        <w:t xml:space="preserve"> </w:t>
      </w:r>
      <w:r>
        <w:rPr>
          <w:color w:val="000000"/>
          <w:lang w:val="nl-NL"/>
        </w:rPr>
        <w:t>Từ ngày 01 tháng 01 năm 2027.</w:t>
      </w:r>
      <w:r>
        <w:rPr>
          <w:lang w:val="nl-NL"/>
        </w:rPr>
        <w:t xml:space="preserve"> </w:t>
      </w:r>
    </w:p>
    <w:p w14:paraId="2782574C">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i/>
          <w:iCs/>
          <w:color w:val="000000"/>
          <w:lang w:val="nl-NL"/>
        </w:rPr>
      </w:pPr>
      <w:r>
        <w:rPr>
          <w:color w:val="000000"/>
          <w:lang w:val="nl-NL"/>
        </w:rPr>
        <w:t xml:space="preserve">Trên đây là Tờ trình về dự thảo </w:t>
      </w:r>
      <w:r>
        <w:t>Nghị quyết quy định về mức thu, miễn, giảm, thu, nộp, quản lý và sử dụng các khoản phí, lệ phí trên địa bàn tỉnh Hà Tĩnh</w:t>
      </w:r>
      <w:r>
        <w:rPr>
          <w:color w:val="000000"/>
          <w:lang w:val="nl-NL"/>
        </w:rPr>
        <w:t xml:space="preserve"> </w:t>
      </w:r>
      <w:r>
        <w:rPr>
          <w:i/>
          <w:iCs/>
          <w:color w:val="000000"/>
          <w:lang w:val="nl-NL"/>
        </w:rPr>
        <w:t>(có dự thảo Nghị quyết; Báo cáo thẩm định của Sở Tư pháp, biểu báo cáo giải trình, tiếp thu ý kiến thẩm định; Bản tổng hợp, giải trình, tiếp thu ý kiến góp ý)</w:t>
      </w:r>
      <w:r>
        <w:rPr>
          <w:lang w:val="nl-NL"/>
        </w:rPr>
        <w:t xml:space="preserve">, </w:t>
      </w:r>
      <w:r>
        <w:rPr>
          <w:color w:val="000000"/>
          <w:lang w:val="nl-NL"/>
        </w:rPr>
        <w:t>Sở Tài chính kính trình UBND tỉnh xem xét trình Thường trực HĐND tỉnh xem xét, quyết định./.</w:t>
      </w:r>
    </w:p>
    <w:p w14:paraId="4E5BD5C0">
      <w:pPr>
        <w:widowControl w:val="0"/>
        <w:tabs>
          <w:tab w:val="right" w:leader="dot" w:pos="7920"/>
        </w:tabs>
        <w:spacing w:after="120"/>
        <w:ind w:firstLine="720"/>
        <w:jc w:val="both"/>
        <w:rPr>
          <w:sz w:val="2"/>
          <w:szCs w:val="2"/>
          <w:lang w:val="nl-NL"/>
        </w:rPr>
      </w:pPr>
    </w:p>
    <w:bookmarkEnd w:id="1"/>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44"/>
        <w:gridCol w:w="4644"/>
      </w:tblGrid>
      <w:tr w14:paraId="63BC6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44" w:type="dxa"/>
          </w:tcPr>
          <w:p w14:paraId="34240A1B">
            <w:pPr>
              <w:spacing w:line="252" w:lineRule="auto"/>
              <w:jc w:val="both"/>
              <w:rPr>
                <w:b/>
                <w:i/>
                <w:color w:val="000000" w:themeColor="text1"/>
                <w:sz w:val="24"/>
                <w:lang w:val="pt-BR"/>
                <w14:textFill>
                  <w14:solidFill>
                    <w14:schemeClr w14:val="tx1"/>
                  </w14:solidFill>
                </w14:textFill>
              </w:rPr>
            </w:pPr>
            <w:r>
              <w:rPr>
                <w:b/>
                <w:i/>
                <w:color w:val="000000" w:themeColor="text1"/>
                <w:sz w:val="24"/>
                <w:lang w:val="pt-BR"/>
                <w14:textFill>
                  <w14:solidFill>
                    <w14:schemeClr w14:val="tx1"/>
                  </w14:solidFill>
                </w14:textFill>
              </w:rPr>
              <w:t>Nơi nhận:</w:t>
            </w:r>
          </w:p>
          <w:p w14:paraId="65A4821A">
            <w:pPr>
              <w:spacing w:line="252" w:lineRule="auto"/>
              <w:jc w:val="both"/>
              <w:rPr>
                <w:color w:val="000000" w:themeColor="text1"/>
                <w:sz w:val="22"/>
                <w:lang w:val="pt-BR"/>
                <w14:textFill>
                  <w14:solidFill>
                    <w14:schemeClr w14:val="tx1"/>
                  </w14:solidFill>
                </w14:textFill>
              </w:rPr>
            </w:pPr>
            <w:r>
              <w:rPr>
                <w:color w:val="000000" w:themeColor="text1"/>
                <w:sz w:val="22"/>
                <w:lang w:val="pt-BR"/>
                <w14:textFill>
                  <w14:solidFill>
                    <w14:schemeClr w14:val="tx1"/>
                  </w14:solidFill>
                </w14:textFill>
              </w:rPr>
              <w:t>- Như trên;</w:t>
            </w:r>
          </w:p>
          <w:p w14:paraId="7320068B">
            <w:pPr>
              <w:spacing w:line="252" w:lineRule="auto"/>
              <w:jc w:val="both"/>
              <w:rPr>
                <w:color w:val="000000" w:themeColor="text1"/>
                <w:sz w:val="22"/>
                <w:lang w:val="pt-BR"/>
                <w14:textFill>
                  <w14:solidFill>
                    <w14:schemeClr w14:val="tx1"/>
                  </w14:solidFill>
                </w14:textFill>
              </w:rPr>
            </w:pPr>
            <w:r>
              <w:rPr>
                <w:color w:val="000000" w:themeColor="text1"/>
                <w:sz w:val="22"/>
                <w:lang w:val="pt-BR"/>
                <w14:textFill>
                  <w14:solidFill>
                    <w14:schemeClr w14:val="tx1"/>
                  </w14:solidFill>
                </w14:textFill>
              </w:rPr>
              <w:t>- Sở Tư pháp;</w:t>
            </w:r>
          </w:p>
          <w:p w14:paraId="2EA8004D">
            <w:pPr>
              <w:spacing w:line="252" w:lineRule="auto"/>
              <w:jc w:val="both"/>
              <w:rPr>
                <w:color w:val="000000" w:themeColor="text1"/>
                <w:sz w:val="22"/>
                <w:lang w:val="pt-BR"/>
                <w14:textFill>
                  <w14:solidFill>
                    <w14:schemeClr w14:val="tx1"/>
                  </w14:solidFill>
                </w14:textFill>
              </w:rPr>
            </w:pPr>
            <w:r>
              <w:rPr>
                <w:color w:val="000000" w:themeColor="text1"/>
                <w:sz w:val="22"/>
                <w:lang w:val="pt-BR"/>
                <w14:textFill>
                  <w14:solidFill>
                    <w14:schemeClr w14:val="tx1"/>
                  </w14:solidFill>
                </w14:textFill>
              </w:rPr>
              <w:t>- Giám đốc Sở (b/c);</w:t>
            </w:r>
          </w:p>
          <w:p w14:paraId="7E2062E9">
            <w:pPr>
              <w:spacing w:line="252" w:lineRule="auto"/>
              <w:jc w:val="both"/>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Lưu: VT, GCS. </w:t>
            </w:r>
          </w:p>
        </w:tc>
        <w:tc>
          <w:tcPr>
            <w:tcW w:w="4644" w:type="dxa"/>
          </w:tcPr>
          <w:p w14:paraId="3B7F75C9">
            <w:pPr>
              <w:spacing w:line="252" w:lineRule="auto"/>
              <w:jc w:val="center"/>
              <w:rPr>
                <w:b/>
                <w:color w:val="000000" w:themeColor="text1"/>
                <w14:textFill>
                  <w14:solidFill>
                    <w14:schemeClr w14:val="tx1"/>
                  </w14:solidFill>
                </w14:textFill>
              </w:rPr>
            </w:pPr>
            <w:r>
              <w:rPr>
                <w:b/>
                <w:color w:val="000000" w:themeColor="text1"/>
                <w14:textFill>
                  <w14:solidFill>
                    <w14:schemeClr w14:val="tx1"/>
                  </w14:solidFill>
                </w14:textFill>
              </w:rPr>
              <w:t>KT. GIÁM ĐỐC</w:t>
            </w:r>
          </w:p>
          <w:p w14:paraId="23D684A6">
            <w:pPr>
              <w:spacing w:line="252" w:lineRule="auto"/>
              <w:jc w:val="center"/>
              <w:rPr>
                <w:b/>
                <w:color w:val="000000" w:themeColor="text1"/>
                <w14:textFill>
                  <w14:solidFill>
                    <w14:schemeClr w14:val="tx1"/>
                  </w14:solidFill>
                </w14:textFill>
              </w:rPr>
            </w:pPr>
            <w:r>
              <w:rPr>
                <w:b/>
                <w:color w:val="000000" w:themeColor="text1"/>
                <w14:textFill>
                  <w14:solidFill>
                    <w14:schemeClr w14:val="tx1"/>
                  </w14:solidFill>
                </w14:textFill>
              </w:rPr>
              <w:t>PHÓ GIÁM ĐỐC</w:t>
            </w:r>
          </w:p>
          <w:p w14:paraId="77ABABF8">
            <w:pPr>
              <w:spacing w:line="252" w:lineRule="auto"/>
              <w:jc w:val="center"/>
              <w:rPr>
                <w:b/>
                <w:color w:val="000000" w:themeColor="text1"/>
                <w14:textFill>
                  <w14:solidFill>
                    <w14:schemeClr w14:val="tx1"/>
                  </w14:solidFill>
                </w14:textFill>
              </w:rPr>
            </w:pPr>
          </w:p>
          <w:p w14:paraId="0FF136DE">
            <w:pPr>
              <w:spacing w:line="252" w:lineRule="auto"/>
              <w:jc w:val="center"/>
              <w:rPr>
                <w:b/>
                <w:color w:val="000000" w:themeColor="text1"/>
                <w14:textFill>
                  <w14:solidFill>
                    <w14:schemeClr w14:val="tx1"/>
                  </w14:solidFill>
                </w14:textFill>
              </w:rPr>
            </w:pPr>
            <w:r>
              <w:rPr>
                <w:b/>
                <w:color w:val="000000" w:themeColor="text1"/>
                <w14:textFill>
                  <w14:solidFill>
                    <w14:schemeClr w14:val="tx1"/>
                  </w14:solidFill>
                </w14:textFill>
              </w:rPr>
              <w:br w:type="textWrapping"/>
            </w:r>
          </w:p>
          <w:p w14:paraId="33D29A2C">
            <w:pPr>
              <w:spacing w:line="252" w:lineRule="auto"/>
              <w:jc w:val="both"/>
              <w:rPr>
                <w:b/>
                <w:color w:val="000000" w:themeColor="text1"/>
                <w14:textFill>
                  <w14:solidFill>
                    <w14:schemeClr w14:val="tx1"/>
                  </w14:solidFill>
                </w14:textFill>
              </w:rPr>
            </w:pPr>
          </w:p>
          <w:p w14:paraId="31715451">
            <w:pPr>
              <w:spacing w:line="252" w:lineRule="auto"/>
              <w:jc w:val="center"/>
              <w:rPr>
                <w:b/>
                <w:color w:val="000000" w:themeColor="text1"/>
                <w14:textFill>
                  <w14:solidFill>
                    <w14:schemeClr w14:val="tx1"/>
                  </w14:solidFill>
                </w14:textFill>
              </w:rPr>
            </w:pPr>
            <w:r>
              <w:rPr>
                <w:b/>
                <w:color w:val="000000" w:themeColor="text1"/>
                <w14:textFill>
                  <w14:solidFill>
                    <w14:schemeClr w14:val="tx1"/>
                  </w14:solidFill>
                </w14:textFill>
              </w:rPr>
              <w:t xml:space="preserve"> Nguyễn Đức Thắng</w:t>
            </w:r>
          </w:p>
        </w:tc>
      </w:tr>
    </w:tbl>
    <w:tbl>
      <w:tblPr>
        <w:tblStyle w:val="3"/>
        <w:tblW w:w="9322" w:type="dxa"/>
        <w:tblInd w:w="0" w:type="dxa"/>
        <w:tblLayout w:type="autofit"/>
        <w:tblCellMar>
          <w:top w:w="0" w:type="dxa"/>
          <w:left w:w="108" w:type="dxa"/>
          <w:bottom w:w="0" w:type="dxa"/>
          <w:right w:w="108" w:type="dxa"/>
        </w:tblCellMar>
      </w:tblPr>
      <w:tblGrid>
        <w:gridCol w:w="3085"/>
        <w:gridCol w:w="6237"/>
      </w:tblGrid>
      <w:tr w14:paraId="6CE28D93">
        <w:tc>
          <w:tcPr>
            <w:tcW w:w="3085" w:type="dxa"/>
          </w:tcPr>
          <w:p w14:paraId="4D0C152D">
            <w:pPr>
              <w:widowControl w:val="0"/>
              <w:tabs>
                <w:tab w:val="right" w:leader="dot" w:pos="7920"/>
              </w:tabs>
              <w:rPr>
                <w:sz w:val="24"/>
                <w:szCs w:val="24"/>
              </w:rPr>
            </w:pPr>
          </w:p>
        </w:tc>
        <w:tc>
          <w:tcPr>
            <w:tcW w:w="6237" w:type="dxa"/>
          </w:tcPr>
          <w:p w14:paraId="63952CBF">
            <w:pPr>
              <w:widowControl w:val="0"/>
              <w:tabs>
                <w:tab w:val="right" w:leader="dot" w:pos="7920"/>
              </w:tabs>
              <w:jc w:val="center"/>
              <w:rPr>
                <w:b/>
              </w:rPr>
            </w:pPr>
          </w:p>
        </w:tc>
      </w:tr>
    </w:tbl>
    <w:p w14:paraId="4A5E39B6">
      <w:pPr>
        <w:widowControl w:val="0"/>
        <w:tabs>
          <w:tab w:val="right" w:leader="dot" w:pos="7920"/>
        </w:tabs>
        <w:spacing w:before="144" w:after="144"/>
        <w:jc w:val="both"/>
        <w:rPr>
          <w:b/>
          <w:i/>
        </w:rPr>
      </w:pPr>
    </w:p>
    <w:p w14:paraId="1BD8D7F5">
      <w:pPr>
        <w:widowControl w:val="0"/>
        <w:tabs>
          <w:tab w:val="right" w:leader="dot" w:pos="7920"/>
        </w:tabs>
        <w:spacing w:before="144" w:after="144"/>
        <w:jc w:val="both"/>
        <w:rPr>
          <w:b/>
          <w:i/>
        </w:rPr>
      </w:pPr>
    </w:p>
    <w:p w14:paraId="68E18780">
      <w:pPr>
        <w:widowControl w:val="0"/>
        <w:tabs>
          <w:tab w:val="right" w:leader="dot" w:pos="7920"/>
        </w:tabs>
        <w:spacing w:before="144" w:after="144"/>
        <w:jc w:val="both"/>
        <w:rPr>
          <w:b/>
          <w:i/>
        </w:rPr>
      </w:pPr>
    </w:p>
    <w:sectPr>
      <w:headerReference r:id="rId5" w:type="default"/>
      <w:pgSz w:w="11907" w:h="16840"/>
      <w:pgMar w:top="1134" w:right="1134" w:bottom="1134" w:left="1701" w:header="720" w:footer="720" w:gutter="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40" w:lineRule="auto"/>
      </w:pPr>
      <w:r>
        <w:separator/>
      </w:r>
    </w:p>
  </w:footnote>
  <w:footnote w:type="continuationSeparator" w:id="5">
    <w:p>
      <w:pPr>
        <w:spacing w:before="0" w:after="0" w:line="240" w:lineRule="auto"/>
      </w:pPr>
      <w:r>
        <w:continuationSeparator/>
      </w:r>
    </w:p>
  </w:footnote>
  <w:footnote w:id="0">
    <w:p w14:paraId="056DFF1B">
      <w:pPr>
        <w:pStyle w:val="8"/>
        <w:rPr>
          <w:b/>
          <w:bCs/>
        </w:rPr>
      </w:pPr>
      <w:r>
        <w:rPr>
          <w:rStyle w:val="6"/>
        </w:rPr>
        <w:footnoteRef/>
      </w:r>
      <w:r>
        <w:t xml:space="preserve"> “</w:t>
      </w:r>
      <w:bookmarkStart w:id="3" w:name="dieu_7"/>
      <w:r>
        <w:rPr>
          <w:b/>
          <w:bCs/>
        </w:rPr>
        <w:t>Điều 7. Tổ chức thực hiện</w:t>
      </w:r>
      <w:bookmarkEnd w:id="3"/>
    </w:p>
    <w:p w14:paraId="67E0601C">
      <w:pPr>
        <w:pStyle w:val="8"/>
      </w:pPr>
      <w:r>
        <w:t>2. Ủy ban nhân dân cấp tỉnh có trách nhiệm chỉ đạo cơ quan chuyên môn thuộc Ủy ban nhân dân cấp tỉnh thẩm định đề án thu phí, lệ phí của tổ chức thu phí, lệ phí hoặc xây dựng, thẩm định đề án thu phí, lệ phí đối với trường hợp quy định tại điểm c khoản 1 Điều này đối với các khoản phí, lệ phí thuộc thẩm quyền quyết định của Hội đồng nhân dân cấp tỉnh và trình Ủy ban nhân dân cấp tỉnh để trình Hội đồng nhân dân cấp tỉnh quyết định thu phí, lệ phí.”</w:t>
      </w:r>
    </w:p>
  </w:footnote>
  <w:footnote w:id="1">
    <w:p w14:paraId="1DBBF3A5">
      <w:pPr>
        <w:pStyle w:val="8"/>
        <w:rPr>
          <w:b/>
          <w:bCs/>
        </w:rPr>
      </w:pPr>
      <w:r>
        <w:rPr>
          <w:rStyle w:val="6"/>
        </w:rPr>
        <w:footnoteRef/>
      </w:r>
      <w:r>
        <w:t xml:space="preserve"> “</w:t>
      </w:r>
      <w:bookmarkStart w:id="4" w:name="dieu_4"/>
      <w:r>
        <w:rPr>
          <w:b/>
          <w:bCs/>
        </w:rPr>
        <w:t>Điều 4. Người sử dụng đất</w:t>
      </w:r>
      <w:bookmarkEnd w:id="4"/>
    </w:p>
    <w:p w14:paraId="365B224D">
      <w:pPr>
        <w:pStyle w:val="8"/>
      </w:pPr>
      <w:r>
        <w:t>2. Tổ chức tôn giáo, tổ chức tôn giáo trực thuộc;</w:t>
      </w:r>
    </w:p>
    <w:p w14:paraId="35B0403C">
      <w:pPr>
        <w:pStyle w:val="8"/>
      </w:pPr>
      <w:r>
        <w:t>6. Người gốc Việt Nam định cư ở nước ngoài;</w:t>
      </w:r>
    </w:p>
    <w:p w14:paraId="22034BE3">
      <w:pPr>
        <w:pStyle w:val="8"/>
      </w:pPr>
      <w:r>
        <w:t>7. Tổ chức kinh tế có vốn đầu tư nước ngoài.”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811859"/>
      <w:docPartObj>
        <w:docPartGallery w:val="AutoText"/>
      </w:docPartObj>
    </w:sdtPr>
    <w:sdtContent>
      <w:p w14:paraId="113F5D75">
        <w:pPr>
          <w:pStyle w:val="9"/>
          <w:jc w:val="center"/>
        </w:pPr>
        <w:r>
          <w:fldChar w:fldCharType="begin"/>
        </w:r>
        <w:r>
          <w:instrText xml:space="preserve"> PAGE   \* MERGEFORMAT </w:instrText>
        </w:r>
        <w:r>
          <w:fldChar w:fldCharType="separate"/>
        </w:r>
        <w:r>
          <w:t>2</w:t>
        </w:r>
        <w:r>
          <w:fldChar w:fldCharType="end"/>
        </w:r>
      </w:p>
    </w:sdtContent>
  </w:sdt>
  <w:p w14:paraId="46F0FA1D">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4"/>
    <w:footnote w:id="5"/>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9D"/>
    <w:rsid w:val="000E2F03"/>
    <w:rsid w:val="001447FC"/>
    <w:rsid w:val="001816C4"/>
    <w:rsid w:val="001F7C2A"/>
    <w:rsid w:val="002F20BA"/>
    <w:rsid w:val="0033581A"/>
    <w:rsid w:val="003C022A"/>
    <w:rsid w:val="003D7462"/>
    <w:rsid w:val="00442D21"/>
    <w:rsid w:val="004B5061"/>
    <w:rsid w:val="00591DBB"/>
    <w:rsid w:val="005A326E"/>
    <w:rsid w:val="00635526"/>
    <w:rsid w:val="0064080E"/>
    <w:rsid w:val="0087652D"/>
    <w:rsid w:val="008D4CA9"/>
    <w:rsid w:val="00973E4D"/>
    <w:rsid w:val="00997750"/>
    <w:rsid w:val="009C082B"/>
    <w:rsid w:val="00A91BD0"/>
    <w:rsid w:val="00B6011F"/>
    <w:rsid w:val="00BB5D9D"/>
    <w:rsid w:val="00C94D90"/>
    <w:rsid w:val="00D15C23"/>
    <w:rsid w:val="00E20825"/>
    <w:rsid w:val="00F61956"/>
    <w:rsid w:val="00FF5EAE"/>
    <w:rsid w:val="0AE97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kern w:val="0"/>
      <w:sz w:val="28"/>
      <w:szCs w:val="28"/>
      <w:lang w:val="en-US" w:eastAsia="en-US" w:bidi="ar-SA"/>
      <w14:ligatures w14:val="none"/>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8"/>
    <w:semiHidden/>
    <w:unhideWhenUsed/>
    <w:qFormat/>
    <w:uiPriority w:val="99"/>
    <w:rPr>
      <w:rFonts w:ascii="Segoe UI" w:hAnsi="Segoe UI" w:cs="Segoe UI"/>
      <w:sz w:val="18"/>
      <w:szCs w:val="18"/>
    </w:rPr>
  </w:style>
  <w:style w:type="paragraph" w:styleId="5">
    <w:name w:val="footer"/>
    <w:basedOn w:val="1"/>
    <w:link w:val="19"/>
    <w:qFormat/>
    <w:uiPriority w:val="0"/>
    <w:pPr>
      <w:tabs>
        <w:tab w:val="center" w:pos="4320"/>
        <w:tab w:val="right" w:pos="8640"/>
      </w:tabs>
    </w:pPr>
    <w:rPr>
      <w:sz w:val="24"/>
      <w:szCs w:val="24"/>
      <w:lang w:val="zh-CN" w:eastAsia="zh-CN"/>
    </w:rPr>
  </w:style>
  <w:style w:type="character" w:styleId="6">
    <w:name w:val="footnote reference"/>
    <w:basedOn w:val="2"/>
    <w:link w:val="7"/>
    <w:unhideWhenUsed/>
    <w:qFormat/>
    <w:uiPriority w:val="99"/>
    <w:rPr>
      <w:vertAlign w:val="superscript"/>
    </w:rPr>
  </w:style>
  <w:style w:type="paragraph" w:customStyle="1" w:styleId="7">
    <w:name w:val="Char Char1 Char Char Char Char1 Char Char Char Char Char Char Char Char"/>
    <w:basedOn w:val="1"/>
    <w:next w:val="1"/>
    <w:link w:val="6"/>
    <w:qFormat/>
    <w:uiPriority w:val="99"/>
    <w:pPr>
      <w:spacing w:after="160" w:line="240" w:lineRule="exact"/>
    </w:pPr>
    <w:rPr>
      <w:rFonts w:asciiTheme="minorHAnsi" w:hAnsiTheme="minorHAnsi" w:eastAsiaTheme="minorHAnsi" w:cstheme="minorBidi"/>
      <w:kern w:val="2"/>
      <w:sz w:val="22"/>
      <w:szCs w:val="22"/>
      <w:vertAlign w:val="superscript"/>
      <w14:ligatures w14:val="standardContextual"/>
    </w:rPr>
  </w:style>
  <w:style w:type="paragraph" w:styleId="8">
    <w:name w:val="footnote text"/>
    <w:basedOn w:val="1"/>
    <w:link w:val="15"/>
    <w:unhideWhenUsed/>
    <w:qFormat/>
    <w:uiPriority w:val="99"/>
    <w:pPr>
      <w:jc w:val="both"/>
    </w:pPr>
    <w:rPr>
      <w:rFonts w:eastAsiaTheme="minorHAnsi" w:cstheme="minorBidi"/>
      <w:sz w:val="20"/>
      <w:szCs w:val="20"/>
    </w:rPr>
  </w:style>
  <w:style w:type="paragraph" w:styleId="9">
    <w:name w:val="header"/>
    <w:basedOn w:val="1"/>
    <w:link w:val="20"/>
    <w:unhideWhenUsed/>
    <w:qFormat/>
    <w:uiPriority w:val="99"/>
    <w:pPr>
      <w:tabs>
        <w:tab w:val="center" w:pos="4680"/>
        <w:tab w:val="right" w:pos="9360"/>
      </w:tabs>
    </w:pPr>
  </w:style>
  <w:style w:type="character" w:styleId="10">
    <w:name w:val="Hyperlink"/>
    <w:basedOn w:val="2"/>
    <w:semiHidden/>
    <w:unhideWhenUsed/>
    <w:qFormat/>
    <w:uiPriority w:val="99"/>
    <w:rPr>
      <w:color w:val="0000FF"/>
      <w:u w:val="single"/>
    </w:rPr>
  </w:style>
  <w:style w:type="paragraph" w:styleId="11">
    <w:name w:val="Normal (Web)"/>
    <w:basedOn w:val="1"/>
    <w:semiHidden/>
    <w:unhideWhenUsed/>
    <w:qFormat/>
    <w:uiPriority w:val="99"/>
    <w:pPr>
      <w:spacing w:before="100" w:beforeAutospacing="1" w:after="100" w:afterAutospacing="1"/>
    </w:pPr>
    <w:rPr>
      <w:sz w:val="24"/>
      <w:szCs w:val="24"/>
    </w:rPr>
  </w:style>
  <w:style w:type="table" w:styleId="12">
    <w:name w:val="Table Grid"/>
    <w:basedOn w:val="3"/>
    <w:qFormat/>
    <w:uiPriority w:val="59"/>
    <w:pPr>
      <w:spacing w:after="0" w:line="240" w:lineRule="auto"/>
      <w:jc w:val="both"/>
    </w:pPr>
    <w:rPr>
      <w:rFonts w:ascii="Times New Roman" w:hAnsi="Times New Roman"/>
      <w:kern w:val="0"/>
      <w:sz w:val="28"/>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Char4"/>
    <w:basedOn w:val="1"/>
    <w:semiHidden/>
    <w:qFormat/>
    <w:uiPriority w:val="0"/>
    <w:pPr>
      <w:spacing w:after="160" w:line="240" w:lineRule="exact"/>
    </w:pPr>
    <w:rPr>
      <w:rFonts w:ascii="Arial" w:hAnsi="Arial" w:cs="Arial"/>
      <w:sz w:val="22"/>
      <w:szCs w:val="22"/>
    </w:rPr>
  </w:style>
  <w:style w:type="paragraph" w:styleId="14">
    <w:name w:val="List Paragraph"/>
    <w:basedOn w:val="1"/>
    <w:qFormat/>
    <w:uiPriority w:val="34"/>
    <w:pPr>
      <w:ind w:left="720"/>
      <w:contextualSpacing/>
    </w:pPr>
  </w:style>
  <w:style w:type="character" w:customStyle="1" w:styleId="15">
    <w:name w:val="Footnote Text Char"/>
    <w:basedOn w:val="2"/>
    <w:link w:val="8"/>
    <w:qFormat/>
    <w:uiPriority w:val="99"/>
    <w:rPr>
      <w:rFonts w:ascii="Times New Roman" w:hAnsi="Times New Roman"/>
      <w:kern w:val="0"/>
      <w:sz w:val="20"/>
      <w:szCs w:val="20"/>
      <w14:ligatures w14:val="none"/>
    </w:rPr>
  </w:style>
  <w:style w:type="character" w:customStyle="1" w:styleId="16">
    <w:name w:val="fontstyle01"/>
    <w:basedOn w:val="2"/>
    <w:qFormat/>
    <w:uiPriority w:val="0"/>
    <w:rPr>
      <w:rFonts w:hint="default" w:ascii="Times New Roman" w:hAnsi="Times New Roman" w:cs="Times New Roman"/>
      <w:color w:val="000000"/>
      <w:sz w:val="28"/>
      <w:szCs w:val="28"/>
    </w:rPr>
  </w:style>
  <w:style w:type="table" w:customStyle="1" w:styleId="17">
    <w:name w:val="Table Grid1"/>
    <w:basedOn w:val="3"/>
    <w:qFormat/>
    <w:uiPriority w:val="59"/>
    <w:pPr>
      <w:spacing w:after="0" w:line="240" w:lineRule="auto"/>
    </w:pPr>
    <w:rPr>
      <w:rFonts w:ascii="Times New Roman" w:hAnsi="Times New Roman"/>
      <w:kern w:val="0"/>
      <w:sz w:val="28"/>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Balloon Text Char"/>
    <w:basedOn w:val="2"/>
    <w:link w:val="4"/>
    <w:semiHidden/>
    <w:qFormat/>
    <w:uiPriority w:val="99"/>
    <w:rPr>
      <w:rFonts w:ascii="Segoe UI" w:hAnsi="Segoe UI" w:eastAsia="Times New Roman" w:cs="Segoe UI"/>
      <w:kern w:val="0"/>
      <w:sz w:val="18"/>
      <w:szCs w:val="18"/>
      <w14:ligatures w14:val="none"/>
    </w:rPr>
  </w:style>
  <w:style w:type="character" w:customStyle="1" w:styleId="19">
    <w:name w:val="Footer Char"/>
    <w:basedOn w:val="2"/>
    <w:link w:val="5"/>
    <w:qFormat/>
    <w:uiPriority w:val="99"/>
    <w:rPr>
      <w:rFonts w:ascii="Times New Roman" w:hAnsi="Times New Roman" w:eastAsia="Times New Roman" w:cs="Times New Roman"/>
      <w:kern w:val="0"/>
      <w:sz w:val="24"/>
      <w:szCs w:val="24"/>
      <w:lang w:val="zh-CN" w:eastAsia="zh-CN"/>
      <w14:ligatures w14:val="none"/>
    </w:rPr>
  </w:style>
  <w:style w:type="character" w:customStyle="1" w:styleId="20">
    <w:name w:val="Header Char"/>
    <w:basedOn w:val="2"/>
    <w:link w:val="9"/>
    <w:qFormat/>
    <w:uiPriority w:val="99"/>
    <w:rPr>
      <w:rFonts w:ascii="Times New Roman" w:hAnsi="Times New Roman" w:eastAsia="Times New Roman" w:cs="Times New Roman"/>
      <w:kern w:val="0"/>
      <w:sz w:val="28"/>
      <w:szCs w:val="28"/>
      <w14:ligatures w14:val="none"/>
    </w:rPr>
  </w:style>
  <w:style w:type="paragraph" w:customStyle="1" w:styleId="21">
    <w:name w:val="Revision"/>
    <w:hidden/>
    <w:semiHidden/>
    <w:qFormat/>
    <w:uiPriority w:val="99"/>
    <w:pPr>
      <w:spacing w:after="0" w:line="240" w:lineRule="auto"/>
    </w:pPr>
    <w:rPr>
      <w:rFonts w:ascii="Times New Roman" w:hAnsi="Times New Roman" w:eastAsia="Times New Roman" w:cs="Times New Roman"/>
      <w:kern w:val="0"/>
      <w:sz w:val="28"/>
      <w:szCs w:val="28"/>
      <w:lang w:val="en-US" w:eastAsia="en-US"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3805AB-F836-4D8D-BBB9-D89F4A4914FD}">
  <ds:schemaRefs/>
</ds:datastoreItem>
</file>

<file path=docProps/app.xml><?xml version="1.0" encoding="utf-8"?>
<Properties xmlns="http://schemas.openxmlformats.org/officeDocument/2006/extended-properties" xmlns:vt="http://schemas.openxmlformats.org/officeDocument/2006/docPropsVTypes">
  <Template>Normal</Template>
  <Pages>5</Pages>
  <Words>2294</Words>
  <Characters>8438</Characters>
  <Lines>76</Lines>
  <Paragraphs>21</Paragraphs>
  <TotalTime>146</TotalTime>
  <ScaleCrop>false</ScaleCrop>
  <LinksUpToDate>false</LinksUpToDate>
  <CharactersWithSpaces>10759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2025-11-24T10:00:00Z</dcterms:created>
  <dc:creator>Việt Phương</dc:creator>
  <cp:lastModifiedBy>user</cp:lastModifiedBy>
  <cp:lastPrinted>2025-11-24T09:40:00Z</cp:lastPrinted>
  <dcterms:modified xsi:type="dcterms:W3CDTF">2026-11-02T02:10:00Z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C38DB66667A64241A8476F8A45D8A9A2_13</vt:lpwstr>
  </property>
</Properties>
</file>