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0" w:type="auto"/>
        <w:tblInd w:w="0" w:type="dxa"/>
        <w:tblLayout w:type="fixed"/>
        <w:tblCellMar>
          <w:top w:w="0" w:type="dxa"/>
          <w:left w:w="108" w:type="dxa"/>
          <w:bottom w:w="0" w:type="dxa"/>
          <w:right w:w="108" w:type="dxa"/>
        </w:tblCellMar>
      </w:tblPr>
      <w:tblGrid>
        <w:gridCol w:w="3227"/>
        <w:gridCol w:w="5843"/>
      </w:tblGrid>
      <w:tr w14:paraId="6A6CCB0E">
        <w:tblPrEx>
          <w:tblCellMar>
            <w:top w:w="0" w:type="dxa"/>
            <w:left w:w="108" w:type="dxa"/>
            <w:bottom w:w="0" w:type="dxa"/>
            <w:right w:w="108" w:type="dxa"/>
          </w:tblCellMar>
        </w:tblPrEx>
        <w:tc>
          <w:tcPr>
            <w:tcW w:w="3227" w:type="dxa"/>
          </w:tcPr>
          <w:p w14:paraId="7C5B6BE8">
            <w:pPr>
              <w:spacing w:after="0" w:line="240" w:lineRule="auto"/>
              <w:ind w:left="-180"/>
              <w:jc w:val="center"/>
            </w:pPr>
            <w:bookmarkStart w:id="0" w:name="_GoBack"/>
            <w:bookmarkEnd w:id="0"/>
            <w:r>
              <w:t>UBND TỈNH HÀ TĨNH</w:t>
            </w:r>
          </w:p>
          <w:p w14:paraId="5A47AEA6">
            <w:pPr>
              <w:spacing w:after="0" w:line="240" w:lineRule="auto"/>
              <w:ind w:left="-180"/>
              <w:jc w:val="center"/>
              <w:rPr>
                <w:b/>
                <w:bCs/>
              </w:rPr>
            </w:pPr>
            <w:r>
              <w:rPr>
                <w:b/>
                <w:bCs/>
              </w:rPr>
              <w:t>SỞ NỘI VỤ</w:t>
            </w:r>
          </w:p>
          <w:p w14:paraId="0B03EA74">
            <w:pPr>
              <w:spacing w:after="0" w:line="240" w:lineRule="auto"/>
              <w:ind w:left="-180"/>
              <w:jc w:val="center"/>
              <w:rPr>
                <w:b/>
                <w:bCs/>
              </w:rPr>
            </w:pPr>
            <w:r>
              <w:rPr>
                <w:b/>
                <w:bCs/>
              </w:rPr>
              <mc:AlternateContent>
                <mc:Choice Requires="wps">
                  <w:drawing>
                    <wp:anchor distT="0" distB="0" distL="114300" distR="114300" simplePos="0" relativeHeight="251659264" behindDoc="0" locked="0" layoutInCell="1" allowOverlap="1">
                      <wp:simplePos x="0" y="0"/>
                      <wp:positionH relativeFrom="column">
                        <wp:posOffset>651510</wp:posOffset>
                      </wp:positionH>
                      <wp:positionV relativeFrom="paragraph">
                        <wp:posOffset>20320</wp:posOffset>
                      </wp:positionV>
                      <wp:extent cx="467995" cy="0"/>
                      <wp:effectExtent l="7620" t="5715" r="10160" b="13335"/>
                      <wp:wrapNone/>
                      <wp:docPr id="2" name="Line 2"/>
                      <wp:cNvGraphicFramePr/>
                      <a:graphic xmlns:a="http://schemas.openxmlformats.org/drawingml/2006/main">
                        <a:graphicData uri="http://schemas.microsoft.com/office/word/2010/wordprocessingShape">
                          <wps:wsp>
                            <wps:cNvCnPr>
                              <a:cxnSpLocks noChangeShapeType="1"/>
                            </wps:cNvCnPr>
                            <wps:spPr bwMode="auto">
                              <a:xfrm>
                                <a:off x="0" y="0"/>
                                <a:ext cx="467995" cy="0"/>
                              </a:xfrm>
                              <a:prstGeom prst="line">
                                <a:avLst/>
                              </a:prstGeom>
                              <a:noFill/>
                              <a:ln w="9525">
                                <a:solidFill>
                                  <a:srgbClr val="000000"/>
                                </a:solidFill>
                                <a:round/>
                              </a:ln>
                            </wps:spPr>
                            <wps:bodyPr/>
                          </wps:wsp>
                        </a:graphicData>
                      </a:graphic>
                    </wp:anchor>
                  </w:drawing>
                </mc:Choice>
                <mc:Fallback>
                  <w:pict>
                    <v:line id="Line 2" o:spid="_x0000_s1026" o:spt="20" style="position:absolute;left:0pt;margin-left:51.3pt;margin-top:1.6pt;height:0pt;width:36.85pt;z-index:251659264;mso-width-relative:page;mso-height-relative:page;" filled="f" stroked="t" coordsize="21600,21600" o:gfxdata="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yRc6B0wAAAAcBAAAPAAAAAAAAAAEAIAAAACIAAABkcnMvZG93bnJl&#10;di54bWxQSwECFAAUAAAACACHTuJAPW7NF8kBAACeAwAADgAAAAAAAAABACAAAAAiAQAAZHJzL2Uy&#10;b0RvYy54bWxQSwUGAAAAAAYABgBZAQAAXQUAAAAA&#10;">
                      <v:fill on="f" focussize="0,0"/>
                      <v:stroke color="#000000" joinstyle="round"/>
                      <v:imagedata o:title=""/>
                      <o:lock v:ext="edit" aspectratio="f"/>
                    </v:line>
                  </w:pict>
                </mc:Fallback>
              </mc:AlternateContent>
            </w:r>
          </w:p>
          <w:p w14:paraId="304616F1">
            <w:pPr>
              <w:spacing w:after="0" w:line="240" w:lineRule="auto"/>
              <w:ind w:left="-180"/>
              <w:jc w:val="center"/>
              <w:rPr>
                <w:bCs/>
              </w:rPr>
            </w:pPr>
            <w:r>
              <w:rPr>
                <w:bCs/>
              </w:rPr>
              <w:t xml:space="preserve">Số:           /BC- SNV </w:t>
            </w:r>
          </w:p>
          <w:p w14:paraId="0BEAFB3D">
            <w:pPr>
              <w:spacing w:after="0" w:line="240" w:lineRule="auto"/>
              <w:ind w:left="-57"/>
              <w:jc w:val="center"/>
              <w:rPr>
                <w:bCs/>
              </w:rPr>
            </w:pPr>
            <w:r>
              <w:rPr>
                <w:b/>
                <w:bdr w:val="single" w:color="auto" w:sz="4" w:space="0"/>
              </w:rPr>
              <w:t>DỰ THẢO</w:t>
            </w:r>
          </w:p>
          <w:p w14:paraId="50B504E9">
            <w:pPr>
              <w:spacing w:after="0" w:line="240" w:lineRule="auto"/>
              <w:ind w:left="-57"/>
              <w:jc w:val="center"/>
              <w:rPr>
                <w:bCs/>
              </w:rPr>
            </w:pPr>
            <w:r>
              <w:rPr>
                <w:bCs/>
              </w:rPr>
              <w:t xml:space="preserve"> </w:t>
            </w:r>
          </w:p>
        </w:tc>
        <w:tc>
          <w:tcPr>
            <w:tcW w:w="5843" w:type="dxa"/>
          </w:tcPr>
          <w:p w14:paraId="4B8A4FDC">
            <w:pPr>
              <w:spacing w:after="0" w:line="240" w:lineRule="auto"/>
              <w:jc w:val="center"/>
              <w:rPr>
                <w:b/>
                <w:bCs/>
              </w:rPr>
            </w:pPr>
            <w:r>
              <w:rPr>
                <w:b/>
                <w:bCs/>
              </w:rPr>
              <w:t>CỘNG HOÀ XÃ HỘI CHỦ NGHĨA VIỆT NAM</w:t>
            </w:r>
          </w:p>
          <w:p w14:paraId="1426965F">
            <w:pPr>
              <w:spacing w:after="0" w:line="240" w:lineRule="auto"/>
              <w:jc w:val="center"/>
              <w:rPr>
                <w:b/>
                <w:bCs/>
                <w:sz w:val="28"/>
                <w:szCs w:val="28"/>
              </w:rPr>
            </w:pPr>
            <w:r>
              <w:rPr>
                <w:b/>
                <w:bCs/>
                <w:sz w:val="28"/>
                <w:szCs w:val="28"/>
              </w:rPr>
              <w:t>Độc lập - Tự do - Hạnh phúc</w:t>
            </w:r>
          </w:p>
          <w:p w14:paraId="2763801F">
            <w:pPr>
              <w:spacing w:after="0" w:line="240" w:lineRule="auto"/>
              <w:jc w:val="center"/>
              <w:rPr>
                <w:i/>
                <w:iCs/>
                <w:szCs w:val="26"/>
              </w:rPr>
            </w:pPr>
            <w:r>
              <w:rPr>
                <w:b/>
                <w:bCs/>
              </w:rPr>
              <mc:AlternateContent>
                <mc:Choice Requires="wps">
                  <w:drawing>
                    <wp:anchor distT="0" distB="0" distL="114300" distR="114300" simplePos="0" relativeHeight="251660288" behindDoc="0" locked="0" layoutInCell="1" allowOverlap="1">
                      <wp:simplePos x="0" y="0"/>
                      <wp:positionH relativeFrom="column">
                        <wp:posOffset>767715</wp:posOffset>
                      </wp:positionH>
                      <wp:positionV relativeFrom="paragraph">
                        <wp:posOffset>18415</wp:posOffset>
                      </wp:positionV>
                      <wp:extent cx="2124075" cy="0"/>
                      <wp:effectExtent l="10795" t="8890" r="8255" b="10160"/>
                      <wp:wrapNone/>
                      <wp:docPr id="1" name="Line 3"/>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000000"/>
                                </a:solidFill>
                                <a:round/>
                              </a:ln>
                            </wps:spPr>
                            <wps:bodyPr/>
                          </wps:wsp>
                        </a:graphicData>
                      </a:graphic>
                    </wp:anchor>
                  </w:drawing>
                </mc:Choice>
                <mc:Fallback>
                  <w:pict>
                    <v:line id="Line 3" o:spid="_x0000_s1026" o:spt="20" style="position:absolute;left:0pt;margin-left:60.45pt;margin-top:1.45pt;height:0pt;width:167.25pt;z-index:251660288;mso-width-relative:page;mso-height-relative:page;" filled="f" stroked="t" coordsize="21600,21600" o:gfxdata="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doJPxNQAAAAHAQAADwAAAAAAAAABACAAAAAiAAAAZHJzL2Rvd25y&#10;ZXYueG1sUEsBAhQAFAAAAAgAh07iQBoPMwDJAQAAnwMAAA4AAAAAAAAAAQAgAAAAIwEAAGRycy9l&#10;Mm9Eb2MueG1sUEsFBgAAAAAGAAYAWQEAAF4FAAAAAA==&#10;">
                      <v:fill on="f" focussize="0,0"/>
                      <v:stroke color="#000000" joinstyle="round"/>
                      <v:imagedata o:title=""/>
                      <o:lock v:ext="edit" aspectratio="f"/>
                    </v:line>
                  </w:pict>
                </mc:Fallback>
              </mc:AlternateContent>
            </w:r>
          </w:p>
          <w:p w14:paraId="2F36F549">
            <w:pPr>
              <w:spacing w:after="0" w:line="240" w:lineRule="auto"/>
              <w:jc w:val="center"/>
              <w:rPr>
                <w:b/>
                <w:bCs/>
                <w:sz w:val="28"/>
                <w:szCs w:val="28"/>
              </w:rPr>
            </w:pPr>
            <w:r>
              <w:rPr>
                <w:i/>
                <w:iCs/>
                <w:sz w:val="28"/>
                <w:szCs w:val="28"/>
              </w:rPr>
              <w:t>Hà Tĩnh, ngày        tháng       năm 2026</w:t>
            </w:r>
          </w:p>
        </w:tc>
      </w:tr>
    </w:tbl>
    <w:p w14:paraId="0FC525E2">
      <w:pPr>
        <w:spacing w:after="0" w:line="240" w:lineRule="auto"/>
        <w:jc w:val="center"/>
        <w:rPr>
          <w:rFonts w:cs="Times New Roman"/>
          <w:b/>
          <w:sz w:val="28"/>
          <w:szCs w:val="28"/>
        </w:rPr>
      </w:pPr>
    </w:p>
    <w:p w14:paraId="6AB6DA9C">
      <w:pPr>
        <w:spacing w:after="0" w:line="240" w:lineRule="auto"/>
        <w:jc w:val="center"/>
        <w:rPr>
          <w:rFonts w:cs="Times New Roman"/>
          <w:sz w:val="28"/>
          <w:szCs w:val="28"/>
        </w:rPr>
      </w:pPr>
      <w:r>
        <w:rPr>
          <w:rFonts w:cs="Times New Roman"/>
          <w:b/>
          <w:sz w:val="28"/>
          <w:szCs w:val="28"/>
        </w:rPr>
        <w:t>BÁO CÁO</w:t>
      </w:r>
    </w:p>
    <w:p w14:paraId="03ED7C8D">
      <w:pPr>
        <w:spacing w:after="0" w:line="240" w:lineRule="auto"/>
        <w:jc w:val="center"/>
        <w:rPr>
          <w:rFonts w:cs="Times New Roman"/>
          <w:b/>
          <w:sz w:val="28"/>
          <w:szCs w:val="28"/>
        </w:rPr>
      </w:pPr>
      <w:r>
        <w:rPr>
          <w:rFonts w:cs="Times New Roman"/>
          <w:b/>
          <w:sz w:val="28"/>
          <w:szCs w:val="28"/>
        </w:rPr>
        <w:t xml:space="preserve">Đánh giá tác động chính sách thực hiện Nghị quyết quy định chính sách hỗ trợ </w:t>
      </w:r>
      <w:r>
        <w:rPr>
          <w:rStyle w:val="37"/>
          <w:rFonts w:cs="Times New Roman"/>
          <w:sz w:val="28"/>
          <w:szCs w:val="28"/>
        </w:rPr>
        <w:t xml:space="preserve">đối với cán bộ, công chức, viên chức được luân chuyển, điều động, biệt phái </w:t>
      </w:r>
      <w:r>
        <w:rPr>
          <w:rFonts w:cs="Times New Roman"/>
          <w:b/>
          <w:sz w:val="28"/>
          <w:szCs w:val="28"/>
        </w:rPr>
        <w:t>đến công tác tại cơ sở, địa bàn, vị trí cần tăng cường nhân lực trên địa bàn tỉnh Hà Tĩnh</w:t>
      </w:r>
    </w:p>
    <w:p w14:paraId="48CFD396">
      <w:pPr>
        <w:spacing w:after="0" w:line="240" w:lineRule="auto"/>
        <w:jc w:val="center"/>
        <w:rPr>
          <w:rFonts w:cs="Times New Roman"/>
          <w:b/>
          <w:sz w:val="28"/>
          <w:szCs w:val="28"/>
        </w:rPr>
      </w:pPr>
      <w:r>
        <w:rPr>
          <w:rFonts w:cs="Times New Roman"/>
          <w:b/>
          <w:sz w:val="28"/>
          <w:szCs w:val="28"/>
        </w:rPr>
        <mc:AlternateContent>
          <mc:Choice Requires="wps">
            <w:drawing>
              <wp:anchor distT="0" distB="0" distL="114300" distR="114300" simplePos="0" relativeHeight="251661312" behindDoc="0" locked="0" layoutInCell="1" allowOverlap="1">
                <wp:simplePos x="0" y="0"/>
                <wp:positionH relativeFrom="column">
                  <wp:posOffset>2310130</wp:posOffset>
                </wp:positionH>
                <wp:positionV relativeFrom="paragraph">
                  <wp:posOffset>42545</wp:posOffset>
                </wp:positionV>
                <wp:extent cx="10763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1076325"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id="_x0000_s1026" o:spid="_x0000_s1026" o:spt="20" style="position:absolute;left:0pt;margin-left:181.9pt;margin-top:3.35pt;height:0pt;width:84.75pt;z-index:251661312;mso-width-relative:page;mso-height-relative:page;" filled="f" stroked="t" coordsize="21600,21600" o:gfxdata="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TrtnsdUAAAAHAQAA&#10;DwAAAAAAAAABACAAAAAiAAAAZHJzL2Rvd25yZXYueG1sUEsBAhQAFAAAAAgAh07iQKRjr9LjAQAA&#10;1gMAAA4AAAAAAAAAAQAgAAAAJAEAAGRycy9lMm9Eb2MueG1sUEsFBgAAAAAGAAYAWQEAAHkFAAAA&#10;AA==&#10;">
                <v:fill on="f" focussize="0,0"/>
                <v:stroke color="#6DAC43 [3209]" joinstyle="round"/>
                <v:imagedata o:title=""/>
                <o:lock v:ext="edit" aspectratio="f"/>
              </v:line>
            </w:pict>
          </mc:Fallback>
        </mc:AlternateContent>
      </w:r>
    </w:p>
    <w:p w14:paraId="6EE80B57">
      <w:pPr>
        <w:spacing w:before="120" w:after="120" w:line="240" w:lineRule="auto"/>
        <w:ind w:firstLine="709"/>
        <w:jc w:val="both"/>
        <w:rPr>
          <w:rFonts w:cs="Times New Roman"/>
          <w:b/>
          <w:sz w:val="28"/>
          <w:szCs w:val="28"/>
        </w:rPr>
      </w:pPr>
    </w:p>
    <w:p w14:paraId="67F4FB54">
      <w:pPr>
        <w:spacing w:before="120" w:after="120" w:line="240" w:lineRule="auto"/>
        <w:ind w:firstLine="709"/>
        <w:jc w:val="both"/>
        <w:rPr>
          <w:rFonts w:cs="Times New Roman"/>
          <w:b/>
          <w:sz w:val="28"/>
          <w:szCs w:val="28"/>
        </w:rPr>
      </w:pPr>
      <w:r>
        <w:rPr>
          <w:rFonts w:cs="Times New Roman"/>
          <w:b/>
          <w:sz w:val="28"/>
          <w:szCs w:val="28"/>
        </w:rPr>
        <w:t>I. XÁC ĐỊNH VẤN ĐỀ</w:t>
      </w:r>
    </w:p>
    <w:p w14:paraId="3C5ABD8D">
      <w:pPr>
        <w:spacing w:before="120" w:after="120" w:line="240" w:lineRule="auto"/>
        <w:ind w:firstLine="709"/>
        <w:jc w:val="both"/>
        <w:rPr>
          <w:rFonts w:cs="Times New Roman"/>
          <w:b/>
          <w:sz w:val="28"/>
          <w:szCs w:val="28"/>
        </w:rPr>
      </w:pPr>
      <w:r>
        <w:rPr>
          <w:rFonts w:cs="Times New Roman"/>
          <w:b/>
          <w:sz w:val="28"/>
          <w:szCs w:val="28"/>
        </w:rPr>
        <w:t>1. Bối cảnh xây dựng chính sách</w:t>
      </w:r>
    </w:p>
    <w:p w14:paraId="0026A39E">
      <w:pPr>
        <w:spacing w:before="120" w:after="120" w:line="240" w:lineRule="auto"/>
        <w:ind w:firstLine="709"/>
        <w:jc w:val="both"/>
        <w:rPr>
          <w:rFonts w:cs="Times New Roman"/>
          <w:sz w:val="28"/>
          <w:szCs w:val="28"/>
        </w:rPr>
      </w:pPr>
      <w:r>
        <w:rPr>
          <w:rFonts w:cs="Times New Roman"/>
          <w:sz w:val="28"/>
          <w:szCs w:val="28"/>
        </w:rPr>
        <w:t>Sau khi thực hiện sắp xếp tổ chức bộ máy, đơn vị hành chính và vận hành mô hình chính quyền địa phương hai cấp, việc phân bổ, bố trí và sử dụng đội ngũ cán bộ, công chức, viên chức trên địa bàn tỉnh Hà Tĩnh còn một số bất cập. Nhân lực giữa các cơ quan, đơn vị, địa phương chưa đồng đều về số lượng, cơ cấu và chuyên môn nghiệp vụ; một số địa phương còn thiếu công chức tại các vị trí việc làm quan trọng, nhất là các lĩnh vực xây dựng, quy hoạch, tài chính, kế toán, công nghệ thông tin và các lĩnh vực chuyên môn đặc thù. Trong khi đó, một số cơ quan, đơn vị, địa phương có nhân lực cần tiếp tục rà soát, sắp xếp, bố trí lại để phù hợp với biên chế được giao, vị trí việc làm và yêu cầu nhiệm vụ.</w:t>
      </w:r>
    </w:p>
    <w:p w14:paraId="655F8C42">
      <w:pPr>
        <w:spacing w:before="120" w:after="120" w:line="240" w:lineRule="auto"/>
        <w:ind w:firstLine="709"/>
        <w:jc w:val="both"/>
        <w:rPr>
          <w:rFonts w:cs="Times New Roman"/>
          <w:sz w:val="28"/>
          <w:szCs w:val="28"/>
        </w:rPr>
      </w:pPr>
      <w:r>
        <w:rPr>
          <w:rFonts w:cs="Times New Roman"/>
          <w:sz w:val="28"/>
          <w:szCs w:val="28"/>
        </w:rPr>
        <w:t>Thực tế cho thấy, tình trạng thừa, thiếu nhân lực không chỉ thể hiện ở số lượng biên chế mà còn ở cơ cấu chuyên môn, năng lực và khả năng đáp ứng yêu cầu công việc. Có địa phương chưa sử dụng hết biên chế được giao nhưng vẫn thiếu nhân lực có chuyên môn phù hợp; ngược lại, có địa phương số lượng cán bộ, công chức cơ bản đáp ứng yêu cầu nhưng việc phân bổ giữa các lĩnh vực chưa hợp lý. Bên cạnh đó, sau sắp xếp đơn vị hành chính, khối lượng công việc tại cấp xã lớn, phạm vi quản lý rộng, nhiều nhiệm vụ mới được phân cấp, phân quyền, đòi hỏi đội ngũ công chức phải đáp ứng yêu cầu ngày càng cao về trình độ, kỹ năng và năng lực thực thi công vụ.</w:t>
      </w:r>
    </w:p>
    <w:p w14:paraId="1D94B219">
      <w:pPr>
        <w:spacing w:before="120" w:after="120" w:line="240" w:lineRule="auto"/>
        <w:ind w:firstLine="709"/>
        <w:jc w:val="both"/>
        <w:rPr>
          <w:rFonts w:cs="Times New Roman"/>
          <w:sz w:val="28"/>
          <w:szCs w:val="28"/>
        </w:rPr>
      </w:pPr>
      <w:r>
        <w:rPr>
          <w:rFonts w:cs="Times New Roman"/>
          <w:sz w:val="28"/>
          <w:szCs w:val="28"/>
        </w:rPr>
        <w:t>Để khắc phục tình trạng trên, việc rà soát, sắp xếp, luân chuyển, điều động, biệt phái cán bộ, công chức, viên chức từ nơi có điều kiện bố trí nhân lực sang nơi thiếu nhân lực hoặc thiếu nhân lực có chuyên môn phù hợp là giải pháp cần thiết, góp phần sử dụng hiệu quả nguồn nhân lực hiện có, hạn chế việc tuyển dụng bổ sung khi chưa thực sự cần thiết và bảo đảm hoạt động thông suốt của các cơ quan, đơn vị, địa phương.</w:t>
      </w:r>
    </w:p>
    <w:p w14:paraId="6C811D14">
      <w:pPr>
        <w:spacing w:before="120" w:after="120" w:line="240" w:lineRule="auto"/>
        <w:ind w:firstLine="709"/>
        <w:jc w:val="both"/>
        <w:rPr>
          <w:rFonts w:cs="Times New Roman"/>
          <w:sz w:val="28"/>
          <w:szCs w:val="28"/>
        </w:rPr>
      </w:pPr>
      <w:r>
        <w:rPr>
          <w:rFonts w:cs="Times New Roman"/>
          <w:sz w:val="28"/>
          <w:szCs w:val="28"/>
        </w:rPr>
        <w:t>Tuy nhiên, quá trình thực hiện luân chuyển, điều động, biệt phái còn gặp khó khăn do nhiều trường hợp phải thay đổi địa điểm làm việc, di chuyển xa nơi cư trú, phát sinh chi phí đi lại, thuê nhà ở và các khoản chi phí sinh hoạt khác. Một số cán bộ, công chức, viên chức có hoàn cảnh gia đình khó khăn, đang nuôi con nhỏ, chăm sóc người thân hoặc có điều kiện đi lại không thuận lợi nên việc bố trí công tác tại địa bàn mới ảnh hưởng nhất định đến đời sống, tâm lý và khả năng ổn định công tác. Trong khi đó, các chế độ, chính sách hiện hành chưa bao quát đầy đủ việc hỗ trợ chi phí phát sinh đối với những trường hợp được luân chuyển, điều động, biệt phái theo yêu cầu nhiệm vụ đến địa bàn, vị trí cần tăng cường nhân lực.</w:t>
      </w:r>
    </w:p>
    <w:p w14:paraId="30458AB8">
      <w:pPr>
        <w:pStyle w:val="36"/>
        <w:spacing w:before="120" w:beforeAutospacing="0" w:after="120" w:afterAutospacing="0"/>
        <w:ind w:firstLine="709"/>
        <w:jc w:val="both"/>
        <w:rPr>
          <w:sz w:val="28"/>
          <w:szCs w:val="28"/>
        </w:rPr>
      </w:pPr>
      <w:r>
        <w:rPr>
          <w:sz w:val="28"/>
          <w:szCs w:val="28"/>
        </w:rPr>
        <w:t>Mặt khác, nếu không có chính sách hỗ trợ phù hợp, việc huy động, bố trí nhân lực giữa các cơ quan, đơn vị, địa phương có thể gặp khó khăn, ảnh hưởng đến tiến độ khắc phục tình trạng thừa, thiếu nhân lực cục bộ và hiệu quả thực hiện nhiệm vụ. Tuy nhiên, chính sách hỗ trợ cũng cần được nghiên cứu, xây dựng chặt chẽ về đối tượng, điều kiện, mức hỗ trợ và thời gian hưởng, bảo đảm công bằng, không trùng lặp với các chế độ, chính sách hiện hành, phù hợp với khả năng cân đối ngân sách địa phương và không làm phát sinh thủ tục hành chính không cần thiết.</w:t>
      </w:r>
    </w:p>
    <w:p w14:paraId="2C75BEB4">
      <w:pPr>
        <w:pStyle w:val="36"/>
        <w:spacing w:before="120" w:beforeAutospacing="0" w:after="120" w:afterAutospacing="0"/>
        <w:ind w:firstLine="709"/>
        <w:jc w:val="both"/>
        <w:rPr>
          <w:sz w:val="28"/>
          <w:szCs w:val="28"/>
        </w:rPr>
      </w:pPr>
      <w:r>
        <w:rPr>
          <w:sz w:val="28"/>
          <w:szCs w:val="28"/>
        </w:rPr>
        <w:t xml:space="preserve">Tại Nghị quyết số 02-NQ/TU ngày 16/4/2026 của Ban Chấp hành Đảng bộ tỉnh khóa XX về nâng cao chất lượng cán bộ cơ sở tỉnh Hà Tĩnh giai đoạn 2026 - 2030 đã xác định yêu cầu nâng cao chất lượng đội ngũ cán bộ cơ sở, đáp ứng nhiệm vụ trong giai đoạn mới. Kế hoạch số 106-KH/TU ngày 17/8/2026 của Ban Thường vụ Tỉnh ủy </w:t>
      </w:r>
      <w:r>
        <w:rPr>
          <w:rStyle w:val="170"/>
          <w:rFonts w:ascii="Times New Roman" w:hAnsi="Times New Roman"/>
        </w:rPr>
        <w:t>thực hiện Nghị quyết số 02-NQ/TU ngày 16/4/2026</w:t>
      </w:r>
      <w:r>
        <w:rPr>
          <w:b/>
          <w:bCs/>
          <w:sz w:val="28"/>
          <w:szCs w:val="28"/>
        </w:rPr>
        <w:t xml:space="preserve"> </w:t>
      </w:r>
      <w:r>
        <w:rPr>
          <w:rStyle w:val="170"/>
          <w:rFonts w:ascii="Times New Roman" w:hAnsi="Times New Roman"/>
        </w:rPr>
        <w:t xml:space="preserve">của Ban Chấp hành Đảng bộ tỉnh khóa XX, giao Đảng ủy Ủy ban nhân dân tỉnh: </w:t>
      </w:r>
      <w:r>
        <w:rPr>
          <w:sz w:val="28"/>
          <w:szCs w:val="28"/>
        </w:rPr>
        <w:t>Tham mưu cơ chế, chính sách luân chuyển, điều động, biệt phái cán bộ, công chức, viên chức; chính sách hỗ trợ, khuyến khích đối với cán bộ luân chuyển, công tác tại địa bàn khó khăn, vùng sâu, vùng xa.</w:t>
      </w:r>
    </w:p>
    <w:p w14:paraId="76E77175">
      <w:pPr>
        <w:pStyle w:val="36"/>
        <w:spacing w:before="120" w:beforeAutospacing="0" w:after="120" w:afterAutospacing="0"/>
        <w:ind w:firstLine="709"/>
        <w:jc w:val="both"/>
        <w:rPr>
          <w:sz w:val="28"/>
          <w:szCs w:val="28"/>
        </w:rPr>
      </w:pPr>
      <w:r>
        <w:rPr>
          <w:rStyle w:val="37"/>
          <w:b w:val="0"/>
          <w:sz w:val="28"/>
          <w:szCs w:val="28"/>
        </w:rPr>
        <w:t xml:space="preserve">Từ thực trạng trên và thực hiện chủ trương của tỉnh, việc nghiên cứu ban hành Nghị quyết của Hội đồng nhân dân tỉnh quy định chính sách hỗ trợ đối với cán bộ, công chức, viên chức được luân chuyển, điều động, biệt phái </w:t>
      </w:r>
      <w:r>
        <w:rPr>
          <w:sz w:val="28"/>
          <w:szCs w:val="28"/>
        </w:rPr>
        <w:t>đến công tác tại cơ sở, địa bàn, vị trí cần tăng cường nhân lực trên địa bàn tỉnh Hà Tĩnh</w:t>
      </w:r>
      <w:r>
        <w:rPr>
          <w:rStyle w:val="37"/>
          <w:b w:val="0"/>
          <w:sz w:val="28"/>
          <w:szCs w:val="28"/>
        </w:rPr>
        <w:t xml:space="preserve"> là cần thiết</w:t>
      </w:r>
      <w:r>
        <w:rPr>
          <w:sz w:val="28"/>
          <w:szCs w:val="28"/>
        </w:rPr>
        <w:t>, nhằm hỗ trợ một phần chi phí phát sinh, tạo điều kiện để người được bố trí công tác tại địa bàn mới ổn định đời sống, yên tâm thực hiện nhiệm vụ; đồng thời góp phần nâng cao hiệu quả điều tiết, phân bổ và sử dụng nguồn nhân lực, đáp ứng yêu cầu hoạt động của hệ thống chính trị và chính quyền địa phương hai cấp trên địa bàn tỉnh.</w:t>
      </w:r>
    </w:p>
    <w:p w14:paraId="27F893AF">
      <w:pPr>
        <w:pStyle w:val="36"/>
        <w:spacing w:before="120" w:beforeAutospacing="0" w:after="120" w:afterAutospacing="0"/>
        <w:ind w:firstLine="709"/>
        <w:jc w:val="both"/>
        <w:rPr>
          <w:b/>
          <w:sz w:val="28"/>
          <w:szCs w:val="28"/>
        </w:rPr>
      </w:pPr>
      <w:r>
        <w:rPr>
          <w:b/>
          <w:sz w:val="28"/>
          <w:szCs w:val="28"/>
        </w:rPr>
        <w:t>2. Mục tiêu của chính sách</w:t>
      </w:r>
    </w:p>
    <w:p w14:paraId="064675EC">
      <w:pPr>
        <w:pStyle w:val="36"/>
        <w:spacing w:before="120" w:beforeAutospacing="0" w:after="120" w:afterAutospacing="0"/>
        <w:ind w:firstLine="709"/>
        <w:jc w:val="both"/>
        <w:rPr>
          <w:sz w:val="28"/>
          <w:szCs w:val="28"/>
        </w:rPr>
      </w:pPr>
      <w:r>
        <w:rPr>
          <w:sz w:val="28"/>
          <w:szCs w:val="28"/>
        </w:rPr>
        <w:t>Hỗ trợ một phần chi phí phát sinh đối với cán bộ, công chức, viên chức được cơ quan có thẩm quyền quyết định luân chuyển, điều động, biệt phái theo yêu cầu nhiệm vụ đến công tác tại địa bàn mới; góp phần ổn định đời sống, tạo điều kiện để người được bố trí công tác yên tâm thực hiện nhiệm vụ.</w:t>
      </w:r>
    </w:p>
    <w:p w14:paraId="58268DF0">
      <w:pPr>
        <w:pStyle w:val="36"/>
        <w:spacing w:before="120" w:beforeAutospacing="0" w:after="120" w:afterAutospacing="0"/>
        <w:ind w:firstLine="709"/>
        <w:jc w:val="both"/>
        <w:rPr>
          <w:sz w:val="28"/>
          <w:szCs w:val="28"/>
        </w:rPr>
      </w:pPr>
      <w:r>
        <w:rPr>
          <w:sz w:val="28"/>
          <w:szCs w:val="28"/>
        </w:rPr>
        <w:t>Đồng thời, tạo điều kiện thuận lợi cho việc điều tiết, phân bổ và sử dụng nguồn nhân lực giữa các cơ quan, đơn vị, địa phương; góp phần nâng cao hiệu quả hoạt động của bộ máy hành chính, nhất là tại cấp xã trong giai đoạn vận hành mô hình chính quyền địa phương hai cấp.</w:t>
      </w:r>
    </w:p>
    <w:p w14:paraId="5A201AA9">
      <w:pPr>
        <w:pStyle w:val="36"/>
        <w:spacing w:before="120" w:beforeAutospacing="0" w:after="120" w:afterAutospacing="0"/>
        <w:ind w:firstLine="709"/>
        <w:jc w:val="both"/>
        <w:rPr>
          <w:sz w:val="28"/>
          <w:szCs w:val="28"/>
        </w:rPr>
      </w:pPr>
      <w:r>
        <w:rPr>
          <w:sz w:val="28"/>
          <w:szCs w:val="28"/>
        </w:rPr>
        <w:t>Việc thực hiện chính sách phải bảo đảm công khai, minh bạch, không hỗ trợ trùng lặp, sử dụng ngân sách tiết kiệm, hiệu quả và không làm phát sinh thủ tục hành chính không cần thiết.</w:t>
      </w:r>
    </w:p>
    <w:p w14:paraId="1CABA382">
      <w:pPr>
        <w:pStyle w:val="36"/>
        <w:spacing w:before="120" w:beforeAutospacing="0" w:after="120" w:afterAutospacing="0"/>
        <w:ind w:firstLine="709"/>
        <w:jc w:val="both"/>
        <w:rPr>
          <w:b/>
          <w:sz w:val="28"/>
          <w:szCs w:val="28"/>
        </w:rPr>
      </w:pPr>
      <w:r>
        <w:rPr>
          <w:b/>
          <w:sz w:val="28"/>
          <w:szCs w:val="28"/>
        </w:rPr>
        <w:t>II. ĐÁNH GIÁ TÁC ĐỘNG CỦA CHÍNH SÁCH HỖ TRỢ ĐỐI VỚI CÁN BỘ, CÔNG CHỨC, VIÊN CHỨC ĐƯỢC LUÂN CHUYỂN, ĐIỀU ĐỘNG, BIỆT PHÁI ĐẾN CÔNG TÁC TẠI CƠ SỞ, ĐỊA BÀN, VỊ TRÍ CẦN TĂNG CƯỜNG NHÂN LỰC TRÊN ĐỊA BÀN TỈNH HÀ TĨNH</w:t>
      </w:r>
    </w:p>
    <w:p w14:paraId="7FAC6B18">
      <w:pPr>
        <w:pStyle w:val="36"/>
        <w:spacing w:before="120" w:beforeAutospacing="0" w:after="120" w:afterAutospacing="0"/>
        <w:ind w:firstLine="709"/>
        <w:jc w:val="both"/>
        <w:rPr>
          <w:sz w:val="28"/>
          <w:szCs w:val="28"/>
        </w:rPr>
      </w:pPr>
      <w:r>
        <w:rPr>
          <w:b/>
          <w:sz w:val="28"/>
          <w:szCs w:val="28"/>
        </w:rPr>
        <w:t>1. Đánh giá tác động</w:t>
      </w:r>
    </w:p>
    <w:p w14:paraId="149572C1">
      <w:pPr>
        <w:pStyle w:val="36"/>
        <w:spacing w:before="120" w:beforeAutospacing="0" w:after="120" w:afterAutospacing="0"/>
        <w:ind w:firstLine="709"/>
        <w:jc w:val="both"/>
        <w:rPr>
          <w:b/>
          <w:i/>
          <w:sz w:val="28"/>
          <w:szCs w:val="28"/>
        </w:rPr>
      </w:pPr>
      <w:r>
        <w:rPr>
          <w:b/>
          <w:i/>
          <w:sz w:val="28"/>
          <w:szCs w:val="28"/>
        </w:rPr>
        <w:t>1.1. Giải pháp 1: Giữ nguyên các quy định hiện hành, không ban hành chính sách hỗ trợ riêng của tỉnh</w:t>
      </w:r>
    </w:p>
    <w:p w14:paraId="4460137B">
      <w:pPr>
        <w:pStyle w:val="36"/>
        <w:spacing w:before="120" w:beforeAutospacing="0" w:after="120" w:afterAutospacing="0"/>
        <w:ind w:firstLine="709"/>
        <w:jc w:val="both"/>
        <w:rPr>
          <w:sz w:val="28"/>
          <w:szCs w:val="28"/>
        </w:rPr>
      </w:pPr>
      <w:r>
        <w:rPr>
          <w:rStyle w:val="37"/>
          <w:rFonts w:eastAsiaTheme="majorEastAsia"/>
          <w:b w:val="0"/>
          <w:sz w:val="28"/>
          <w:szCs w:val="28"/>
        </w:rPr>
        <w:t>- Tác động đối với hệ thống pháp luật</w:t>
      </w:r>
      <w:r>
        <w:rPr>
          <w:sz w:val="28"/>
          <w:szCs w:val="28"/>
        </w:rPr>
        <w:t>: Giải pháp này không làm phát sinh quy định pháp luật mới; không đặt ra yêu cầu bổ sung cơ chế quản lý, chi trả hoặc nguồn kinh phí hỗ trợ riêng của địa phương. Các chế độ, chính sách đối với cán bộ, công chức, viên chức tiếp tục được thực hiện theo quy định hiện hành.</w:t>
      </w:r>
    </w:p>
    <w:p w14:paraId="34D82675">
      <w:pPr>
        <w:pStyle w:val="36"/>
        <w:spacing w:before="120" w:beforeAutospacing="0" w:after="120" w:afterAutospacing="0"/>
        <w:ind w:firstLine="709"/>
        <w:jc w:val="both"/>
        <w:rPr>
          <w:rStyle w:val="37"/>
          <w:rFonts w:eastAsiaTheme="majorEastAsia"/>
          <w:b w:val="0"/>
          <w:sz w:val="28"/>
          <w:szCs w:val="28"/>
        </w:rPr>
      </w:pPr>
      <w:r>
        <w:rPr>
          <w:rStyle w:val="37"/>
          <w:rFonts w:eastAsiaTheme="majorEastAsia"/>
          <w:b w:val="0"/>
          <w:sz w:val="28"/>
          <w:szCs w:val="28"/>
        </w:rPr>
        <w:t>- Tác động về kinh tế – xã hội:</w:t>
      </w:r>
    </w:p>
    <w:p w14:paraId="63482900">
      <w:pPr>
        <w:pStyle w:val="36"/>
        <w:spacing w:before="120" w:beforeAutospacing="0" w:after="120" w:afterAutospacing="0"/>
        <w:ind w:firstLine="709"/>
        <w:jc w:val="both"/>
        <w:rPr>
          <w:sz w:val="28"/>
          <w:szCs w:val="28"/>
        </w:rPr>
      </w:pPr>
      <w:r>
        <w:rPr>
          <w:rStyle w:val="37"/>
          <w:rFonts w:eastAsiaTheme="majorEastAsia"/>
          <w:b w:val="0"/>
          <w:sz w:val="28"/>
          <w:szCs w:val="28"/>
        </w:rPr>
        <w:t xml:space="preserve">+ </w:t>
      </w:r>
      <w:r>
        <w:rPr>
          <w:rStyle w:val="17"/>
          <w:rFonts w:eastAsiaTheme="majorEastAsia"/>
          <w:sz w:val="28"/>
          <w:szCs w:val="28"/>
        </w:rPr>
        <w:t>Về mặt tích cực:</w:t>
      </w:r>
      <w:r>
        <w:rPr>
          <w:sz w:val="28"/>
          <w:szCs w:val="28"/>
        </w:rPr>
        <w:t xml:space="preserve"> Không làm phát sinh thêm nhiệm vụ chi ngân sách địa phương; không phát sinh chi phí tổ chức triển khai, quản lý và kiểm tra việc thực hiện chính sách mới.</w:t>
      </w:r>
    </w:p>
    <w:p w14:paraId="6259BE50">
      <w:pPr>
        <w:pStyle w:val="36"/>
        <w:spacing w:before="120" w:beforeAutospacing="0" w:after="120" w:afterAutospacing="0"/>
        <w:ind w:firstLine="709"/>
        <w:jc w:val="both"/>
        <w:rPr>
          <w:sz w:val="28"/>
          <w:szCs w:val="28"/>
        </w:rPr>
      </w:pPr>
      <w:r>
        <w:rPr>
          <w:rStyle w:val="17"/>
          <w:rFonts w:eastAsiaTheme="majorEastAsia"/>
          <w:sz w:val="28"/>
          <w:szCs w:val="28"/>
        </w:rPr>
        <w:t>+ Về mặt hạn chế:</w:t>
      </w:r>
      <w:r>
        <w:rPr>
          <w:sz w:val="28"/>
          <w:szCs w:val="28"/>
        </w:rPr>
        <w:t xml:space="preserve"> Đối với cán bộ, công chức, viên chức được bố trí công tác xa nơi cư trú theo yêu cầu nhiệm vụ, các chi phí phát sinh ngoài chế độ được hưởng hiện hành có thể tiếp tục do cá nhân tự bảo đảm. Điều này có thể tạo thêm khó khăn trong sinh hoạt, ảnh hưởng đến tâm lý, điều kiện làm việc và khả năng ổn định công tác.</w:t>
      </w:r>
    </w:p>
    <w:p w14:paraId="27E6F0AF">
      <w:pPr>
        <w:pStyle w:val="36"/>
        <w:spacing w:before="120" w:beforeAutospacing="0" w:after="120" w:afterAutospacing="0"/>
        <w:ind w:firstLine="709"/>
        <w:jc w:val="both"/>
        <w:rPr>
          <w:sz w:val="28"/>
          <w:szCs w:val="28"/>
        </w:rPr>
      </w:pPr>
      <w:r>
        <w:rPr>
          <w:sz w:val="28"/>
          <w:szCs w:val="28"/>
        </w:rPr>
        <w:t>Mặt khác, trong điều kiện tỉnh đang thực hiện rà soát, sắp xếp, điều tiết nhân lực giữa các cơ quan, đơn vị, địa phương, việc chưa có cơ chế hỗ trợ phù hợp có thể ảnh hưởng đến quá trình thực hiện các phương án luân chuyển, điều động, biệt phái, nhất là đối với các trường hợp phải thay đổi địa bàn công tác có khoảng cách xa.</w:t>
      </w:r>
    </w:p>
    <w:p w14:paraId="61AC3972">
      <w:pPr>
        <w:pStyle w:val="36"/>
        <w:spacing w:before="120" w:beforeAutospacing="0" w:after="120" w:afterAutospacing="0"/>
        <w:ind w:firstLine="709"/>
        <w:jc w:val="both"/>
        <w:rPr>
          <w:sz w:val="28"/>
          <w:szCs w:val="28"/>
        </w:rPr>
      </w:pPr>
      <w:r>
        <w:rPr>
          <w:rStyle w:val="37"/>
          <w:rFonts w:eastAsiaTheme="majorEastAsia"/>
          <w:b w:val="0"/>
          <w:sz w:val="28"/>
          <w:szCs w:val="28"/>
        </w:rPr>
        <w:t>- Tác động về giới</w:t>
      </w:r>
      <w:r>
        <w:rPr>
          <w:sz w:val="28"/>
          <w:szCs w:val="28"/>
        </w:rPr>
        <w:t>: Không làm phát sinh quy định phân biệt đối xử giữa nam và nữ. Tuy nhiên, khó khăn do thay đổi địa bàn công tác có thể tác động khác nhau đến từng nhóm đối tượng, nhất là người đang mang thai, nuôi con nhỏ hoặc trực tiếp chăm sóc người phụ thuộc.</w:t>
      </w:r>
    </w:p>
    <w:p w14:paraId="2724BC62">
      <w:pPr>
        <w:pStyle w:val="36"/>
        <w:spacing w:before="120" w:beforeAutospacing="0" w:after="120" w:afterAutospacing="0"/>
        <w:ind w:firstLine="709"/>
        <w:jc w:val="both"/>
        <w:rPr>
          <w:sz w:val="28"/>
          <w:szCs w:val="28"/>
        </w:rPr>
      </w:pPr>
      <w:r>
        <w:rPr>
          <w:rStyle w:val="37"/>
          <w:rFonts w:eastAsiaTheme="majorEastAsia"/>
          <w:b w:val="0"/>
          <w:sz w:val="28"/>
          <w:szCs w:val="28"/>
        </w:rPr>
        <w:t xml:space="preserve">- Tác động của thủ tục hành chính: </w:t>
      </w:r>
      <w:r>
        <w:rPr>
          <w:sz w:val="28"/>
          <w:szCs w:val="28"/>
        </w:rPr>
        <w:t>Không làm phát sinh thủ tục hành chính mới.</w:t>
      </w:r>
    </w:p>
    <w:p w14:paraId="475BB9A4">
      <w:pPr>
        <w:pStyle w:val="36"/>
        <w:spacing w:before="120" w:beforeAutospacing="0" w:after="120" w:afterAutospacing="0"/>
        <w:ind w:firstLine="709"/>
        <w:jc w:val="both"/>
        <w:rPr>
          <w:sz w:val="28"/>
          <w:szCs w:val="28"/>
        </w:rPr>
      </w:pPr>
      <w:r>
        <w:rPr>
          <w:rStyle w:val="37"/>
          <w:rFonts w:eastAsiaTheme="majorEastAsia"/>
          <w:b w:val="0"/>
          <w:sz w:val="28"/>
          <w:szCs w:val="28"/>
        </w:rPr>
        <w:t xml:space="preserve">- Đánh giá chung: </w:t>
      </w:r>
      <w:r>
        <w:rPr>
          <w:sz w:val="28"/>
          <w:szCs w:val="28"/>
        </w:rPr>
        <w:t>Giải pháp này có ưu điểm là không phát sinh thêm nhiệm vụ chi ngân sách, nhưng chưa giải quyết được mục tiêu hỗ trợ một phần chi phí phát sinh đối với người được bố trí công tác xa theo yêu cầu nhiệm vụ. Vì vậy, hiệu quả hỗ trợ việc sắp xếp, điều tiết nhân lực còn hạn chế.</w:t>
      </w:r>
    </w:p>
    <w:p w14:paraId="24EDB1B4">
      <w:pPr>
        <w:pStyle w:val="4"/>
        <w:spacing w:before="120" w:after="120" w:line="24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1.2. Giải pháp 2: Ban hành chính sách hỗ trợ hằng tháng theo một mức thống nhất</w:t>
      </w:r>
    </w:p>
    <w:p w14:paraId="4DC71A29">
      <w:pPr>
        <w:pStyle w:val="36"/>
        <w:spacing w:before="120" w:beforeAutospacing="0" w:after="120" w:afterAutospacing="0"/>
        <w:ind w:firstLine="709"/>
        <w:jc w:val="both"/>
        <w:rPr>
          <w:sz w:val="28"/>
          <w:szCs w:val="28"/>
        </w:rPr>
      </w:pPr>
      <w:r>
        <w:rPr>
          <w:sz w:val="28"/>
          <w:szCs w:val="28"/>
        </w:rPr>
        <w:t>Theo giải pháp này, cán bộ, công chức, viên chức đáp ứng điều kiện về quyết định luân chuyển, điều động, biệt phái, khoảng cách và thời gian công tác được hưởng một mức hỗ trợ hằng tháng thống nhất, không phân biệt khoảng cách giữa nơi cư trú và địa điểm làm việc mới.</w:t>
      </w:r>
    </w:p>
    <w:p w14:paraId="6A437394">
      <w:pPr>
        <w:pStyle w:val="36"/>
        <w:spacing w:before="120" w:beforeAutospacing="0" w:after="120" w:afterAutospacing="0"/>
        <w:ind w:firstLine="709"/>
        <w:jc w:val="both"/>
        <w:rPr>
          <w:sz w:val="28"/>
          <w:szCs w:val="28"/>
        </w:rPr>
      </w:pPr>
      <w:r>
        <w:rPr>
          <w:rStyle w:val="37"/>
          <w:rFonts w:eastAsiaTheme="majorEastAsia"/>
          <w:b w:val="0"/>
          <w:sz w:val="28"/>
          <w:szCs w:val="28"/>
        </w:rPr>
        <w:t>- Tác động đối với hệ thống pháp luật</w:t>
      </w:r>
      <w:r>
        <w:rPr>
          <w:sz w:val="28"/>
          <w:szCs w:val="28"/>
        </w:rPr>
        <w:t>: Việc quy định mức hỗ trợ thống nhất tạo thuận lợi cho tổ chức thực hiện, nhưng phải bảo đảm đúng thẩm quyền của Hội đồng nhân dân tỉnh và phù hợp với quy định pháp luật về ngân sách nhà nước, quản lý cán bộ, công chức, viên chức.</w:t>
      </w:r>
    </w:p>
    <w:p w14:paraId="38B5E90E">
      <w:pPr>
        <w:pStyle w:val="36"/>
        <w:spacing w:before="120" w:beforeAutospacing="0" w:after="120" w:afterAutospacing="0"/>
        <w:ind w:firstLine="709"/>
        <w:jc w:val="both"/>
        <w:rPr>
          <w:sz w:val="28"/>
          <w:szCs w:val="28"/>
        </w:rPr>
      </w:pPr>
      <w:r>
        <w:rPr>
          <w:rStyle w:val="37"/>
          <w:rFonts w:eastAsiaTheme="majorEastAsia"/>
          <w:b w:val="0"/>
          <w:sz w:val="28"/>
          <w:szCs w:val="28"/>
        </w:rPr>
        <w:t>- Tác động về kinh tế – xã hội</w:t>
      </w:r>
    </w:p>
    <w:p w14:paraId="35BA9454">
      <w:pPr>
        <w:pStyle w:val="36"/>
        <w:spacing w:before="120" w:beforeAutospacing="0" w:after="120" w:afterAutospacing="0"/>
        <w:ind w:firstLine="709"/>
        <w:jc w:val="both"/>
        <w:rPr>
          <w:sz w:val="28"/>
          <w:szCs w:val="28"/>
        </w:rPr>
      </w:pPr>
      <w:r>
        <w:rPr>
          <w:rStyle w:val="17"/>
          <w:rFonts w:eastAsiaTheme="majorEastAsia"/>
          <w:sz w:val="28"/>
          <w:szCs w:val="28"/>
        </w:rPr>
        <w:t>+ Về mặt tích cực:</w:t>
      </w:r>
      <w:r>
        <w:rPr>
          <w:sz w:val="28"/>
          <w:szCs w:val="28"/>
        </w:rPr>
        <w:t xml:space="preserve"> Chính sách góp phần giảm một phần khó khăn về chi phí đi lại, sinh hoạt đối với người được bố trí công tác xa; tạo thêm điều kiện thực hiện các phương án điều tiết, tăng cường nhân lực. Việc áp dụng một mức hỗ trợ thống nhất tương đối đơn giản trong lập dự toán, tổ chức chi trả và kiểm tra, quyết toán.</w:t>
      </w:r>
    </w:p>
    <w:p w14:paraId="51D936FA">
      <w:pPr>
        <w:pStyle w:val="36"/>
        <w:spacing w:before="120" w:beforeAutospacing="0" w:after="120" w:afterAutospacing="0"/>
        <w:ind w:firstLine="709"/>
        <w:jc w:val="both"/>
        <w:rPr>
          <w:sz w:val="28"/>
          <w:szCs w:val="28"/>
        </w:rPr>
      </w:pPr>
      <w:r>
        <w:rPr>
          <w:rStyle w:val="17"/>
          <w:rFonts w:eastAsiaTheme="majorEastAsia"/>
          <w:sz w:val="28"/>
          <w:szCs w:val="28"/>
        </w:rPr>
        <w:t>+ Về mặt hạn chế:</w:t>
      </w:r>
      <w:r>
        <w:rPr>
          <w:sz w:val="28"/>
          <w:szCs w:val="28"/>
        </w:rPr>
        <w:t xml:space="preserve"> Chi phí phát sinh của người được bố trí công tác có sự khác biệt đáng kể theo khoảng cách, điều kiện giao thông và địa bàn làm việc. Việc áp dụng một mức hỗ trợ chung có thể chưa phản ánh hợp lý mức độ khó khăn giữa các trường hợp.</w:t>
      </w:r>
    </w:p>
    <w:p w14:paraId="151EF435">
      <w:pPr>
        <w:pStyle w:val="36"/>
        <w:spacing w:before="120" w:beforeAutospacing="0" w:after="120" w:afterAutospacing="0"/>
        <w:ind w:firstLine="709"/>
        <w:jc w:val="both"/>
        <w:rPr>
          <w:sz w:val="28"/>
          <w:szCs w:val="28"/>
        </w:rPr>
      </w:pPr>
      <w:r>
        <w:rPr>
          <w:sz w:val="28"/>
          <w:szCs w:val="28"/>
        </w:rPr>
        <w:t>Người công tác ở địa bàn xa, chi phí đi lại lớn có thể được hỗ trợ tương đương với người có khoảng cách gần hơn, từ đó chưa bảo đảm tương xứng với điều kiện thực tế và mục tiêu của chính sách.</w:t>
      </w:r>
    </w:p>
    <w:p w14:paraId="5F8B517F">
      <w:pPr>
        <w:pStyle w:val="36"/>
        <w:spacing w:before="120" w:beforeAutospacing="0" w:after="120" w:afterAutospacing="0"/>
        <w:ind w:firstLine="709"/>
        <w:jc w:val="both"/>
        <w:rPr>
          <w:sz w:val="28"/>
          <w:szCs w:val="28"/>
        </w:rPr>
      </w:pPr>
      <w:r>
        <w:rPr>
          <w:rStyle w:val="37"/>
          <w:rFonts w:eastAsiaTheme="majorEastAsia"/>
          <w:b w:val="0"/>
          <w:sz w:val="28"/>
          <w:szCs w:val="28"/>
        </w:rPr>
        <w:t xml:space="preserve">- Tác động về giới: </w:t>
      </w:r>
      <w:r>
        <w:rPr>
          <w:sz w:val="28"/>
          <w:szCs w:val="28"/>
        </w:rPr>
        <w:t>Chính sách áp dụng thống nhất đối với các đối tượng đủ điều kiện, không phân biệt giới tính. Tuy nhiên, chưa có sự phân hóa theo điều kiện cụ thể, do đó mức độ hỗ trợ đối với những người có hoàn cảnh gia đình đặc thù có thể chưa đáp ứng yêu cầu thực tế.</w:t>
      </w:r>
    </w:p>
    <w:p w14:paraId="7EC25079">
      <w:pPr>
        <w:pStyle w:val="36"/>
        <w:spacing w:before="120" w:beforeAutospacing="0" w:after="120" w:afterAutospacing="0"/>
        <w:ind w:firstLine="709"/>
        <w:jc w:val="both"/>
        <w:rPr>
          <w:sz w:val="28"/>
          <w:szCs w:val="28"/>
        </w:rPr>
      </w:pPr>
      <w:r>
        <w:rPr>
          <w:rStyle w:val="37"/>
          <w:rFonts w:eastAsiaTheme="majorEastAsia"/>
          <w:b w:val="0"/>
          <w:sz w:val="28"/>
          <w:szCs w:val="28"/>
        </w:rPr>
        <w:t>- Tác động của thủ tục hành chính</w:t>
      </w:r>
      <w:r>
        <w:rPr>
          <w:sz w:val="28"/>
          <w:szCs w:val="28"/>
        </w:rPr>
        <w:t>: Có thể thực hiện thông qua cơ quan quản lý, sử dụng và chi trả chế độ, trên cơ sở hồ sơ quản lý nhân sự hiện có. Trong đó cần kiểm tra điều kiện hưởng, thời gian công tác thực tế và việc hưởng các chính sách có cùng mục đích.</w:t>
      </w:r>
    </w:p>
    <w:p w14:paraId="7F961BE7">
      <w:pPr>
        <w:pStyle w:val="36"/>
        <w:spacing w:before="120" w:beforeAutospacing="0" w:after="120" w:afterAutospacing="0"/>
        <w:ind w:firstLine="709"/>
        <w:jc w:val="both"/>
        <w:rPr>
          <w:sz w:val="28"/>
          <w:szCs w:val="28"/>
        </w:rPr>
      </w:pPr>
      <w:r>
        <w:rPr>
          <w:rStyle w:val="37"/>
          <w:rFonts w:eastAsiaTheme="majorEastAsia"/>
          <w:b w:val="0"/>
          <w:sz w:val="28"/>
          <w:szCs w:val="28"/>
        </w:rPr>
        <w:t xml:space="preserve">- Đánh giá chung: </w:t>
      </w:r>
      <w:r>
        <w:rPr>
          <w:sz w:val="28"/>
          <w:szCs w:val="28"/>
        </w:rPr>
        <w:t>Giải pháp này đơn giản trong tổ chức thực hiện nhưng chưa phản ánh đầy đủ sự khác biệt về chi phí phát sinh giữa các trường hợp được bố trí công tác tại những địa bàn có khoảng cách khác nhau.</w:t>
      </w:r>
    </w:p>
    <w:p w14:paraId="3CB96720">
      <w:pPr>
        <w:pStyle w:val="4"/>
        <w:spacing w:before="120" w:after="120" w:line="24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1.3. Giải pháp 3: Ban hành chính sách hỗ trợ hằng tháng theo khoảng cách từ nơi thường trú đến địa điểm công tác mới</w:t>
      </w:r>
    </w:p>
    <w:p w14:paraId="2FB61A5B">
      <w:pPr>
        <w:pStyle w:val="36"/>
        <w:spacing w:before="120" w:beforeAutospacing="0" w:after="120" w:afterAutospacing="0"/>
        <w:ind w:firstLine="709"/>
        <w:jc w:val="both"/>
        <w:rPr>
          <w:sz w:val="28"/>
          <w:szCs w:val="28"/>
        </w:rPr>
      </w:pPr>
      <w:r>
        <w:rPr>
          <w:sz w:val="28"/>
          <w:szCs w:val="28"/>
        </w:rPr>
        <w:t>- Theo giải pháp này, cán bộ, công chức, viên chức thuộc đối tượng được hỗ trợ khi được cơ quan có thẩm quyền quyết định luân chuyển, điều động, biệt phái theo yêu cầu nhiệm vụ, không xuất phát từ nguyện vọng cá nhân, từ cơ quan, tổ chức, đơn vị cấp tỉnh về công tác tại cấp xã hoặc từ đơn vị hành chính cấp xã này sang đơn vị hành chính cấp xã khác hoặc từ cấp xã lên cấp tỉnh.</w:t>
      </w:r>
    </w:p>
    <w:p w14:paraId="781DE5D4">
      <w:pPr>
        <w:pStyle w:val="36"/>
        <w:spacing w:before="120" w:beforeAutospacing="0" w:after="120" w:afterAutospacing="0"/>
        <w:ind w:firstLine="709"/>
        <w:jc w:val="both"/>
        <w:rPr>
          <w:sz w:val="28"/>
          <w:szCs w:val="28"/>
        </w:rPr>
      </w:pPr>
      <w:r>
        <w:rPr>
          <w:sz w:val="28"/>
          <w:szCs w:val="28"/>
        </w:rPr>
        <w:t>- Điều kiện về khoảng cách được xác định theo tuyến đường bộ ngắn nhất phù hợp với phương tiện giao thông cơ giới, từ nơi thường trú tại thời điểm quyết định có hiệu lực đến trụ sở cơ quan, tổ chức, đơn vị công tác mới, từ 15 km trở lên.</w:t>
      </w:r>
    </w:p>
    <w:p w14:paraId="2E06EEE0">
      <w:pPr>
        <w:pStyle w:val="36"/>
        <w:spacing w:before="120" w:beforeAutospacing="0" w:after="120" w:afterAutospacing="0"/>
        <w:ind w:firstLine="709"/>
        <w:jc w:val="both"/>
        <w:rPr>
          <w:sz w:val="28"/>
          <w:szCs w:val="28"/>
        </w:rPr>
      </w:pPr>
      <w:r>
        <w:rPr>
          <w:sz w:val="28"/>
          <w:szCs w:val="28"/>
        </w:rPr>
        <w:t>- Mức hỗ trợ dự kiến:</w:t>
      </w:r>
    </w:p>
    <w:p w14:paraId="5B06E0C3">
      <w:pPr>
        <w:pStyle w:val="36"/>
        <w:spacing w:before="120" w:beforeAutospacing="0" w:after="120" w:afterAutospacing="0"/>
        <w:ind w:firstLine="709"/>
        <w:jc w:val="both"/>
        <w:rPr>
          <w:sz w:val="28"/>
          <w:szCs w:val="28"/>
        </w:rPr>
      </w:pPr>
      <w:r>
        <w:rPr>
          <w:sz w:val="28"/>
          <w:szCs w:val="28"/>
        </w:rPr>
        <w:t>+ Từ 15 km đến dưới 30 km: 1.000.000 đồng/người/tháng.</w:t>
      </w:r>
    </w:p>
    <w:p w14:paraId="31E98D6E">
      <w:pPr>
        <w:pStyle w:val="36"/>
        <w:spacing w:before="120" w:beforeAutospacing="0" w:after="120" w:afterAutospacing="0"/>
        <w:ind w:firstLine="709"/>
        <w:jc w:val="both"/>
        <w:rPr>
          <w:sz w:val="28"/>
          <w:szCs w:val="28"/>
        </w:rPr>
      </w:pPr>
      <w:r>
        <w:rPr>
          <w:sz w:val="28"/>
          <w:szCs w:val="28"/>
        </w:rPr>
        <w:t>+ Từ 30 km đến dưới 60 km: 1.500.000 đồng/người/tháng.</w:t>
      </w:r>
    </w:p>
    <w:p w14:paraId="67E380B6">
      <w:pPr>
        <w:pStyle w:val="36"/>
        <w:spacing w:before="120" w:beforeAutospacing="0" w:after="120" w:afterAutospacing="0"/>
        <w:ind w:firstLine="709"/>
        <w:jc w:val="both"/>
        <w:rPr>
          <w:sz w:val="28"/>
          <w:szCs w:val="28"/>
        </w:rPr>
      </w:pPr>
      <w:r>
        <w:rPr>
          <w:sz w:val="28"/>
          <w:szCs w:val="28"/>
        </w:rPr>
        <w:t>+ Từ 60 km trở lên: 1.900.000 đồng/người/tháng.</w:t>
      </w:r>
    </w:p>
    <w:p w14:paraId="1DCDB876">
      <w:pPr>
        <w:pStyle w:val="36"/>
        <w:spacing w:before="120" w:beforeAutospacing="0" w:after="120" w:afterAutospacing="0"/>
        <w:ind w:firstLine="709"/>
        <w:jc w:val="both"/>
        <w:rPr>
          <w:sz w:val="28"/>
          <w:szCs w:val="28"/>
        </w:rPr>
      </w:pPr>
      <w:r>
        <w:rPr>
          <w:sz w:val="28"/>
          <w:szCs w:val="28"/>
        </w:rPr>
        <w:t>Thời gian hỗ trợ được tính theo thời gian thực tế làm việc tại vị trí, địa bàn thuộc diện hỗ trợ nhưng không quá 36 tháng và phải phù hợp với thời hạn luân chuyển, điều động, biệt phái theo quy định có liên quan.</w:t>
      </w:r>
    </w:p>
    <w:p w14:paraId="782A4162">
      <w:pPr>
        <w:pStyle w:val="36"/>
        <w:spacing w:before="120" w:beforeAutospacing="0" w:after="120" w:afterAutospacing="0"/>
        <w:ind w:firstLine="709"/>
        <w:jc w:val="both"/>
        <w:rPr>
          <w:sz w:val="28"/>
          <w:szCs w:val="28"/>
        </w:rPr>
      </w:pPr>
      <w:r>
        <w:rPr>
          <w:rStyle w:val="37"/>
          <w:rFonts w:eastAsiaTheme="majorEastAsia"/>
          <w:b w:val="0"/>
          <w:sz w:val="28"/>
          <w:szCs w:val="28"/>
        </w:rPr>
        <w:t>- Tác động đối với hệ thống pháp luật</w:t>
      </w:r>
    </w:p>
    <w:p w14:paraId="081B477D">
      <w:pPr>
        <w:pStyle w:val="36"/>
        <w:spacing w:before="120" w:beforeAutospacing="0" w:after="120" w:afterAutospacing="0"/>
        <w:ind w:firstLine="709"/>
        <w:jc w:val="both"/>
        <w:rPr>
          <w:sz w:val="28"/>
          <w:szCs w:val="28"/>
        </w:rPr>
      </w:pPr>
      <w:r>
        <w:rPr>
          <w:rStyle w:val="17"/>
          <w:rFonts w:eastAsiaTheme="majorEastAsia"/>
          <w:sz w:val="28"/>
          <w:szCs w:val="28"/>
        </w:rPr>
        <w:t>+ Về mặt tích cực:</w:t>
      </w:r>
      <w:r>
        <w:rPr>
          <w:sz w:val="28"/>
          <w:szCs w:val="28"/>
        </w:rPr>
        <w:t xml:space="preserve"> Việc ban hành Nghị quyết tạo cơ sở pháp lý thống nhất để thực hiện chính sách hỗ trợ của địa phương; xác định cụ thể đối tượng, điều kiện, mức hỗ trợ, thời gian hưởng, nguồn kinh phí và trách nhiệm của các cơ quan, tổ chức, đơn vị.</w:t>
      </w:r>
    </w:p>
    <w:p w14:paraId="199235B1">
      <w:pPr>
        <w:pStyle w:val="36"/>
        <w:spacing w:before="120" w:beforeAutospacing="0" w:after="120" w:afterAutospacing="0"/>
        <w:ind w:firstLine="709"/>
        <w:jc w:val="both"/>
        <w:rPr>
          <w:sz w:val="28"/>
          <w:szCs w:val="28"/>
        </w:rPr>
      </w:pPr>
      <w:r>
        <w:rPr>
          <w:sz w:val="28"/>
          <w:szCs w:val="28"/>
        </w:rPr>
        <w:t>Chính sách được xây dựng gắn với quyết định bố trí nhân sự của cơ quan có thẩm quyền, yêu cầu nhiệm vụ và khoảng cách đến địa điểm công tác mới, qua đó tạo căn cứ tương đối rõ ràng để xác định người đủ điều kiện hưởng.</w:t>
      </w:r>
    </w:p>
    <w:p w14:paraId="19229262">
      <w:pPr>
        <w:pStyle w:val="36"/>
        <w:spacing w:before="120" w:beforeAutospacing="0" w:after="120" w:afterAutospacing="0"/>
        <w:ind w:firstLine="709"/>
        <w:jc w:val="both"/>
        <w:rPr>
          <w:sz w:val="28"/>
          <w:szCs w:val="28"/>
        </w:rPr>
      </w:pPr>
      <w:r>
        <w:rPr>
          <w:sz w:val="28"/>
          <w:szCs w:val="28"/>
        </w:rPr>
        <w:t>Quy định hỗ trợ theo từng khoảng cách cũng góp phần tăng tính minh bạch, hạn chế việc quyết định mức hỗ trợ mang tính chủ quan trong quá trình tổ chức thực hiện.</w:t>
      </w:r>
    </w:p>
    <w:p w14:paraId="5E566D3A">
      <w:pPr>
        <w:pStyle w:val="36"/>
        <w:spacing w:before="120" w:beforeAutospacing="0" w:after="120" w:afterAutospacing="0"/>
        <w:ind w:firstLine="709"/>
        <w:jc w:val="both"/>
        <w:rPr>
          <w:sz w:val="28"/>
          <w:szCs w:val="28"/>
        </w:rPr>
      </w:pPr>
      <w:r>
        <w:rPr>
          <w:rStyle w:val="17"/>
          <w:rFonts w:eastAsiaTheme="majorEastAsia"/>
          <w:sz w:val="28"/>
          <w:szCs w:val="28"/>
        </w:rPr>
        <w:t>Về những vấn đề cần kiểm soát:</w:t>
      </w:r>
    </w:p>
    <w:p w14:paraId="34A929AE">
      <w:pPr>
        <w:pStyle w:val="36"/>
        <w:spacing w:before="120" w:beforeAutospacing="0" w:after="120" w:afterAutospacing="0"/>
        <w:ind w:firstLine="709"/>
        <w:jc w:val="both"/>
        <w:rPr>
          <w:sz w:val="28"/>
          <w:szCs w:val="28"/>
        </w:rPr>
      </w:pPr>
      <w:r>
        <w:rPr>
          <w:sz w:val="28"/>
          <w:szCs w:val="28"/>
        </w:rPr>
        <w:t>Cần rà soát đầy đủ quy định của pháp luật về luân chuyển, điều động, biệt phái đối với từng nhóm cán bộ, công chức, viên chức; bảo đảm chính sách không mở rộng đối tượng được bố trí công tác ngoài các trường hợp pháp luật cho phép.</w:t>
      </w:r>
    </w:p>
    <w:p w14:paraId="58B0C95B">
      <w:pPr>
        <w:pStyle w:val="36"/>
        <w:spacing w:before="120" w:beforeAutospacing="0" w:after="120" w:afterAutospacing="0"/>
        <w:ind w:firstLine="709"/>
        <w:jc w:val="both"/>
        <w:rPr>
          <w:sz w:val="28"/>
          <w:szCs w:val="28"/>
        </w:rPr>
      </w:pPr>
      <w:r>
        <w:rPr>
          <w:sz w:val="28"/>
          <w:szCs w:val="28"/>
        </w:rPr>
        <w:t>Đồng thời, cần làm rõ mối quan hệ giữa chính sách dự kiến ban hành với các chế độ phụ cấp, hỗ trợ đi lại, công tác phí và các chế độ có cùng mục đích theo quy định hiện hành; bảo đảm không thanh toán trùng cùng một nội dung chi.</w:t>
      </w:r>
    </w:p>
    <w:p w14:paraId="11299D66">
      <w:pPr>
        <w:pStyle w:val="36"/>
        <w:spacing w:before="120" w:beforeAutospacing="0" w:after="120" w:afterAutospacing="0"/>
        <w:ind w:firstLine="709"/>
        <w:jc w:val="both"/>
        <w:rPr>
          <w:sz w:val="28"/>
          <w:szCs w:val="28"/>
        </w:rPr>
      </w:pPr>
      <w:r>
        <w:rPr>
          <w:sz w:val="28"/>
          <w:szCs w:val="28"/>
        </w:rPr>
        <w:t>Việc xác định thời gian hưởng tối đa 36 tháng cũng phải được rà soát để không làm thay đổi thời hạn luân chuyển, điều động, biệt phái theo quy định pháp luật.</w:t>
      </w:r>
    </w:p>
    <w:p w14:paraId="048816C5">
      <w:pPr>
        <w:pStyle w:val="36"/>
        <w:spacing w:before="120" w:beforeAutospacing="0" w:after="120" w:afterAutospacing="0"/>
        <w:ind w:firstLine="709"/>
        <w:jc w:val="both"/>
        <w:rPr>
          <w:sz w:val="28"/>
          <w:szCs w:val="28"/>
        </w:rPr>
      </w:pPr>
      <w:r>
        <w:rPr>
          <w:rStyle w:val="37"/>
          <w:rFonts w:eastAsiaTheme="majorEastAsia"/>
          <w:b w:val="0"/>
          <w:sz w:val="28"/>
          <w:szCs w:val="28"/>
        </w:rPr>
        <w:t>- Tác động về kinh tế – xã hội</w:t>
      </w:r>
    </w:p>
    <w:p w14:paraId="73DE2655">
      <w:pPr>
        <w:pStyle w:val="36"/>
        <w:spacing w:before="120" w:beforeAutospacing="0" w:after="120" w:afterAutospacing="0"/>
        <w:ind w:firstLine="709"/>
        <w:jc w:val="both"/>
        <w:rPr>
          <w:sz w:val="28"/>
          <w:szCs w:val="28"/>
        </w:rPr>
      </w:pPr>
      <w:r>
        <w:rPr>
          <w:rStyle w:val="17"/>
          <w:rFonts w:eastAsiaTheme="majorEastAsia"/>
          <w:sz w:val="28"/>
          <w:szCs w:val="28"/>
        </w:rPr>
        <w:t>+ Đối với cán bộ, công chức, viên chức được hưởng chính sách:</w:t>
      </w:r>
      <w:r>
        <w:rPr>
          <w:sz w:val="28"/>
          <w:szCs w:val="28"/>
        </w:rPr>
        <w:t xml:space="preserve"> Chính sách góp phần hỗ trợ một phần chi phí đi lại, sinh hoạt phát sinh do thay đổi địa bàn công tác theo yêu cầu nhiệm vụ; giảm bớt khó khăn về tài chính, tạo điều kiện ổn định đời sống và yên tâm thực hiện nhiệm vụ.</w:t>
      </w:r>
    </w:p>
    <w:p w14:paraId="2C716F82">
      <w:pPr>
        <w:pStyle w:val="36"/>
        <w:spacing w:before="120" w:beforeAutospacing="0" w:after="120" w:afterAutospacing="0"/>
        <w:ind w:firstLine="709"/>
        <w:jc w:val="both"/>
        <w:rPr>
          <w:sz w:val="28"/>
          <w:szCs w:val="28"/>
        </w:rPr>
      </w:pPr>
      <w:r>
        <w:rPr>
          <w:sz w:val="28"/>
          <w:szCs w:val="28"/>
        </w:rPr>
        <w:t>Việc phân chia ba mức hỗ trợ theo khoảng cách từ 15 km đến dưới 30 km; từ 30km đến dưới 60 km và từ 60 km trở lên có cơ sở phản ánh sự khác biệt tương đối về điều kiện đi lại, chi phí và mức độ khó khăn khi thay đổi địa điểm làm việc.</w:t>
      </w:r>
    </w:p>
    <w:p w14:paraId="16CFA5F8">
      <w:pPr>
        <w:pStyle w:val="36"/>
        <w:spacing w:before="120" w:beforeAutospacing="0" w:after="120" w:afterAutospacing="0"/>
        <w:ind w:firstLine="709"/>
        <w:jc w:val="both"/>
        <w:rPr>
          <w:sz w:val="28"/>
          <w:szCs w:val="28"/>
        </w:rPr>
      </w:pPr>
      <w:r>
        <w:rPr>
          <w:rStyle w:val="17"/>
          <w:rFonts w:eastAsiaTheme="majorEastAsia"/>
          <w:sz w:val="28"/>
          <w:szCs w:val="28"/>
        </w:rPr>
        <w:t>+ Đối với cơ quan, tổ chức, đơn vị và địa phương:</w:t>
      </w:r>
    </w:p>
    <w:p w14:paraId="371EE978">
      <w:pPr>
        <w:pStyle w:val="36"/>
        <w:spacing w:before="120" w:beforeAutospacing="0" w:after="120" w:afterAutospacing="0"/>
        <w:ind w:firstLine="709"/>
        <w:jc w:val="both"/>
        <w:rPr>
          <w:sz w:val="28"/>
          <w:szCs w:val="28"/>
        </w:rPr>
      </w:pPr>
      <w:r>
        <w:rPr>
          <w:sz w:val="28"/>
          <w:szCs w:val="28"/>
        </w:rPr>
        <w:t>Chính sách có thể góp phần tạo điều kiện thuận lợi để thực hiện các phương án sắp xếp, bố trí, điều tiết nhân lực từ nơi có điều kiện bố trí sang nơi thiếu nhân lực hoặc thiếu nhân lực có chuyên môn phù hợp.</w:t>
      </w:r>
    </w:p>
    <w:p w14:paraId="37EF7A49">
      <w:pPr>
        <w:pStyle w:val="36"/>
        <w:spacing w:before="120" w:beforeAutospacing="0" w:after="120" w:afterAutospacing="0"/>
        <w:ind w:firstLine="709"/>
        <w:jc w:val="both"/>
        <w:rPr>
          <w:sz w:val="28"/>
          <w:szCs w:val="28"/>
        </w:rPr>
      </w:pPr>
      <w:r>
        <w:rPr>
          <w:sz w:val="28"/>
          <w:szCs w:val="28"/>
        </w:rPr>
        <w:t>Qua đó, hỗ trợ việc khắc phục tình trạng thừa, thiếu nhân lực cục bộ, nâng cao hiệu quả sử dụng biên chế được giao và góp phần bảo đảm chất lượng thực hiện nhiệm vụ tại các cơ quan, đơn vị, địa phương.</w:t>
      </w:r>
    </w:p>
    <w:p w14:paraId="79330640">
      <w:pPr>
        <w:pStyle w:val="36"/>
        <w:spacing w:before="120" w:beforeAutospacing="0" w:after="120" w:afterAutospacing="0"/>
        <w:ind w:firstLine="709"/>
        <w:jc w:val="both"/>
        <w:rPr>
          <w:sz w:val="28"/>
          <w:szCs w:val="28"/>
        </w:rPr>
      </w:pPr>
      <w:r>
        <w:rPr>
          <w:rStyle w:val="17"/>
          <w:rFonts w:eastAsiaTheme="majorEastAsia"/>
          <w:sz w:val="28"/>
          <w:szCs w:val="28"/>
        </w:rPr>
        <w:t>+ Đối với ngân sách nhà nước:</w:t>
      </w:r>
    </w:p>
    <w:p w14:paraId="3583CD3F">
      <w:pPr>
        <w:pStyle w:val="36"/>
        <w:spacing w:before="120" w:beforeAutospacing="0" w:after="120" w:afterAutospacing="0"/>
        <w:ind w:firstLine="709"/>
        <w:jc w:val="both"/>
        <w:rPr>
          <w:sz w:val="28"/>
          <w:szCs w:val="28"/>
        </w:rPr>
      </w:pPr>
      <w:r>
        <w:rPr>
          <w:sz w:val="28"/>
          <w:szCs w:val="28"/>
        </w:rPr>
        <w:t>Việc thực hiện chính sách làm phát sinh nhiệm vụ chi thường xuyên của ngân sách địa phương. Tổng kinh phí phụ thuộc vào số người thực tế đủ điều kiện, cơ cấu khoảng cách, thời gian hưởng và biến động nhân sự trong từng năm. Tuy nhiên, chính sách có điều kiện cụ thể về đối tượng, khoảng cách và thời gian hưởng, là cơ sở để kiểm soát phạm vi áp dụng, xác định nhu cầu và lập dự toán kinh phí hằng năm.</w:t>
      </w:r>
    </w:p>
    <w:p w14:paraId="1C65B771">
      <w:pPr>
        <w:pStyle w:val="36"/>
        <w:spacing w:before="120" w:beforeAutospacing="0" w:after="120" w:afterAutospacing="0"/>
        <w:ind w:firstLine="709"/>
        <w:jc w:val="both"/>
        <w:rPr>
          <w:sz w:val="28"/>
          <w:szCs w:val="28"/>
        </w:rPr>
      </w:pPr>
      <w:r>
        <w:rPr>
          <w:sz w:val="28"/>
          <w:szCs w:val="28"/>
        </w:rPr>
        <w:t>Kinh phí thực hiện cần được xác định trên cơ sở rà soát đối tượng thực tế, phân cấp nhiệm vụ chi và khả năng cân đối ngân sách địa phương; có ý kiến của Sở Tài chính trước khi hoàn thiện hồ sơ trình cấp có thẩm quyền.</w:t>
      </w:r>
    </w:p>
    <w:p w14:paraId="053B1D75">
      <w:pPr>
        <w:pStyle w:val="36"/>
        <w:spacing w:before="120" w:beforeAutospacing="0" w:after="120" w:afterAutospacing="0"/>
        <w:ind w:firstLine="709"/>
        <w:jc w:val="both"/>
        <w:rPr>
          <w:sz w:val="28"/>
          <w:szCs w:val="28"/>
        </w:rPr>
      </w:pPr>
      <w:r>
        <w:rPr>
          <w:rStyle w:val="17"/>
          <w:rFonts w:eastAsiaTheme="majorEastAsia"/>
          <w:sz w:val="28"/>
          <w:szCs w:val="28"/>
        </w:rPr>
        <w:t>+ Về tác động tiêu cực có thể phát sinh:</w:t>
      </w:r>
    </w:p>
    <w:p w14:paraId="47E5B5D8">
      <w:pPr>
        <w:pStyle w:val="36"/>
        <w:spacing w:before="120" w:beforeAutospacing="0" w:after="120" w:afterAutospacing="0"/>
        <w:ind w:firstLine="709"/>
        <w:jc w:val="both"/>
        <w:rPr>
          <w:sz w:val="28"/>
          <w:szCs w:val="28"/>
        </w:rPr>
      </w:pPr>
      <w:r>
        <w:rPr>
          <w:sz w:val="28"/>
          <w:szCs w:val="28"/>
        </w:rPr>
        <w:t>Việc quy định mức hỗ trợ khác nhau theo khoảng cách có thể phát sinh chênh lệch về thu nhập giữa những người cùng công tác tại một cơ quan, đơn vị.</w:t>
      </w:r>
    </w:p>
    <w:p w14:paraId="527DFCFA">
      <w:pPr>
        <w:pStyle w:val="36"/>
        <w:spacing w:before="120" w:beforeAutospacing="0" w:after="120" w:afterAutospacing="0"/>
        <w:ind w:firstLine="709"/>
        <w:jc w:val="both"/>
        <w:rPr>
          <w:sz w:val="28"/>
          <w:szCs w:val="28"/>
        </w:rPr>
      </w:pPr>
      <w:r>
        <w:rPr>
          <w:sz w:val="28"/>
          <w:szCs w:val="28"/>
        </w:rPr>
        <w:t>Ngoài ra, nếu việc xác định nơi thường trú, khoảng cách và thời gian hưởng thiếu thống nhất có thể dẫn đến áp dụng chính sách không đồng đều, phát sinh kiến nghị hoặc khó khăn trong kiểm tra, quyết toán kinh phí.</w:t>
      </w:r>
    </w:p>
    <w:p w14:paraId="465EF709">
      <w:pPr>
        <w:pStyle w:val="36"/>
        <w:spacing w:before="120" w:beforeAutospacing="0" w:after="120" w:afterAutospacing="0"/>
        <w:ind w:firstLine="709"/>
        <w:jc w:val="both"/>
        <w:rPr>
          <w:sz w:val="28"/>
          <w:szCs w:val="28"/>
        </w:rPr>
      </w:pPr>
      <w:r>
        <w:rPr>
          <w:sz w:val="28"/>
          <w:szCs w:val="28"/>
        </w:rPr>
        <w:t>Để hạn chế những tác động này, cần quy định rõ nguyên tắc xác định khoảng cách, thời điểm xác định nơi thường trú, thời gian thực tế đủ điều kiện hưởng và trách nhiệm kiểm tra, quản lý của cơ quan thực hiện chi trả.</w:t>
      </w:r>
    </w:p>
    <w:p w14:paraId="4437E38B">
      <w:pPr>
        <w:pStyle w:val="36"/>
        <w:spacing w:before="120" w:beforeAutospacing="0" w:after="120" w:afterAutospacing="0"/>
        <w:ind w:firstLine="709"/>
        <w:jc w:val="both"/>
        <w:rPr>
          <w:sz w:val="28"/>
          <w:szCs w:val="28"/>
        </w:rPr>
      </w:pPr>
      <w:r>
        <w:rPr>
          <w:rStyle w:val="37"/>
          <w:rFonts w:eastAsiaTheme="majorEastAsia"/>
          <w:b w:val="0"/>
          <w:sz w:val="28"/>
          <w:szCs w:val="28"/>
        </w:rPr>
        <w:t>- Tác động về giới</w:t>
      </w:r>
    </w:p>
    <w:p w14:paraId="2F212C14">
      <w:pPr>
        <w:pStyle w:val="36"/>
        <w:spacing w:before="120" w:beforeAutospacing="0" w:after="120" w:afterAutospacing="0"/>
        <w:ind w:firstLine="709"/>
        <w:jc w:val="both"/>
        <w:rPr>
          <w:sz w:val="28"/>
          <w:szCs w:val="28"/>
        </w:rPr>
      </w:pPr>
      <w:r>
        <w:rPr>
          <w:spacing w:val="3"/>
          <w:sz w:val="28"/>
          <w:szCs w:val="28"/>
          <w:shd w:val="clear" w:color="auto" w:fill="FFFFFF"/>
        </w:rPr>
        <w:t>Chính sách quy định người thuộc đối tượng hỗ trợ là nữ được hưởng thêm 10% mức hỗ trợ tương ứng quy định tại khoản này.</w:t>
      </w:r>
      <w:r>
        <w:rPr>
          <w:sz w:val="28"/>
          <w:szCs w:val="28"/>
        </w:rPr>
        <w:t xml:space="preserve"> </w:t>
      </w:r>
    </w:p>
    <w:p w14:paraId="56030BCD">
      <w:pPr>
        <w:pStyle w:val="36"/>
        <w:spacing w:before="120" w:beforeAutospacing="0" w:after="120" w:afterAutospacing="0"/>
        <w:ind w:firstLine="709"/>
        <w:jc w:val="both"/>
        <w:rPr>
          <w:sz w:val="28"/>
          <w:szCs w:val="28"/>
        </w:rPr>
      </w:pPr>
      <w:r>
        <w:rPr>
          <w:sz w:val="28"/>
          <w:szCs w:val="28"/>
        </w:rPr>
        <w:t>Việc hỗ trợ chi phí phát sinh có thể góp phần giảm khó khăn tài chính đối với người được bố trí công tác xa, trong đó có lao động nữ là người đang mang thai, nuôi con nhỏ hoặc trực tiếp chăm sóc người phụ thuộc.</w:t>
      </w:r>
    </w:p>
    <w:p w14:paraId="1D56958F">
      <w:pPr>
        <w:pStyle w:val="36"/>
        <w:spacing w:before="120" w:beforeAutospacing="0" w:after="120" w:afterAutospacing="0"/>
        <w:ind w:firstLine="709"/>
        <w:jc w:val="both"/>
        <w:rPr>
          <w:sz w:val="28"/>
          <w:szCs w:val="28"/>
        </w:rPr>
      </w:pPr>
      <w:r>
        <w:rPr>
          <w:rStyle w:val="37"/>
          <w:rFonts w:eastAsiaTheme="majorEastAsia"/>
          <w:b w:val="0"/>
          <w:sz w:val="28"/>
          <w:szCs w:val="28"/>
        </w:rPr>
        <w:t>- Tác động của thủ tục hành chính</w:t>
      </w:r>
    </w:p>
    <w:p w14:paraId="1DB45888">
      <w:pPr>
        <w:pStyle w:val="36"/>
        <w:spacing w:before="120" w:beforeAutospacing="0" w:after="120" w:afterAutospacing="0"/>
        <w:ind w:firstLine="709"/>
        <w:jc w:val="both"/>
        <w:rPr>
          <w:sz w:val="28"/>
          <w:szCs w:val="28"/>
        </w:rPr>
      </w:pPr>
      <w:r>
        <w:rPr>
          <w:sz w:val="28"/>
          <w:szCs w:val="28"/>
        </w:rPr>
        <w:t>Chính sách được thiết kế theo hướng tổ chức thực hiện thông qua cơ quan, tổ chức, đơn vị có trách nhiệm quản lý và chi trả chế độ đối với cán bộ, công chức, viên chức.</w:t>
      </w:r>
    </w:p>
    <w:p w14:paraId="2AB51B1F">
      <w:pPr>
        <w:pStyle w:val="36"/>
        <w:spacing w:before="120" w:beforeAutospacing="0" w:after="120" w:afterAutospacing="0"/>
        <w:ind w:firstLine="709"/>
        <w:jc w:val="both"/>
        <w:rPr>
          <w:sz w:val="28"/>
          <w:szCs w:val="28"/>
        </w:rPr>
      </w:pPr>
      <w:r>
        <w:rPr>
          <w:sz w:val="28"/>
          <w:szCs w:val="28"/>
        </w:rPr>
        <w:t>Cơ quan thực hiện chi trả chủ động khai thác, sử dụng thông tin, tài liệu có trong hồ sơ quản lý cán bộ, công chức, viên chức và các cơ sở dữ liệu có liên quan; chỉ yêu cầu bổ sung thông tin, tài liệu khi chưa đủ căn cứ xác định điều kiện hưởng.</w:t>
      </w:r>
    </w:p>
    <w:p w14:paraId="00DE3335">
      <w:pPr>
        <w:pStyle w:val="36"/>
        <w:spacing w:before="120" w:beforeAutospacing="0" w:after="120" w:afterAutospacing="0"/>
        <w:ind w:firstLine="709"/>
        <w:jc w:val="both"/>
        <w:rPr>
          <w:sz w:val="28"/>
          <w:szCs w:val="28"/>
        </w:rPr>
      </w:pPr>
      <w:r>
        <w:rPr>
          <w:sz w:val="28"/>
          <w:szCs w:val="28"/>
        </w:rPr>
        <w:t xml:space="preserve">Việc kiểm tra điều kiện hưởng, xác định mức hỗ trợ, theo dõi thời gian hưởng, chi trả và quyết toán kinh phí được thực hiện trong quá trình quản lý nhân sự, quản lý tài chính thường xuyên của cơ quan, đơn vị; dự kiến không làm phát sinh thủ tục hành chính độc lập. </w:t>
      </w:r>
    </w:p>
    <w:p w14:paraId="675F1B8B">
      <w:pPr>
        <w:pStyle w:val="36"/>
        <w:spacing w:before="120" w:beforeAutospacing="0" w:after="120" w:afterAutospacing="0"/>
        <w:ind w:firstLine="709"/>
        <w:jc w:val="both"/>
        <w:rPr>
          <w:sz w:val="28"/>
          <w:szCs w:val="28"/>
        </w:rPr>
      </w:pPr>
      <w:r>
        <w:rPr>
          <w:rStyle w:val="37"/>
          <w:rFonts w:eastAsiaTheme="majorEastAsia"/>
          <w:b w:val="0"/>
          <w:sz w:val="28"/>
          <w:szCs w:val="28"/>
        </w:rPr>
        <w:t>- Đánh giá chung</w:t>
      </w:r>
    </w:p>
    <w:p w14:paraId="46B0928A">
      <w:pPr>
        <w:pStyle w:val="36"/>
        <w:spacing w:before="120" w:beforeAutospacing="0" w:after="120" w:afterAutospacing="0"/>
        <w:ind w:firstLine="709"/>
        <w:jc w:val="both"/>
        <w:rPr>
          <w:sz w:val="28"/>
          <w:szCs w:val="28"/>
        </w:rPr>
      </w:pPr>
      <w:r>
        <w:rPr>
          <w:sz w:val="28"/>
          <w:szCs w:val="28"/>
        </w:rPr>
        <w:t>Giải pháp hỗ trợ theo khoảng cách có ưu điểm là tương đối phù hợp với đặc điểm chi phí phát sinh, tạo sự phân hóa hợp lý giữa các trường hợp, có tiêu chí xác định rõ ràng và thuận lợi cho việc quản lý, kiểm tra.</w:t>
      </w:r>
    </w:p>
    <w:p w14:paraId="7EF2A4C6">
      <w:pPr>
        <w:pStyle w:val="36"/>
        <w:spacing w:before="120" w:beforeAutospacing="0" w:after="120" w:afterAutospacing="0"/>
        <w:ind w:firstLine="709"/>
        <w:jc w:val="both"/>
        <w:rPr>
          <w:sz w:val="28"/>
          <w:szCs w:val="28"/>
        </w:rPr>
      </w:pPr>
      <w:r>
        <w:rPr>
          <w:sz w:val="28"/>
          <w:szCs w:val="28"/>
        </w:rPr>
        <w:t>So với giải pháp hỗ trợ theo một mức thống nhất, giải pháp này có khả năng đáp ứng tốt hơn mục tiêu hỗ trợ cán bộ, công chức, viên chức được bố trí công tác xa theo yêu cầu nhiệm vụ, đồng thời tạo cơ sở kiểm soát đối tượng và kinh phí thực hiện.</w:t>
      </w:r>
    </w:p>
    <w:p w14:paraId="3DA84EAB">
      <w:pPr>
        <w:pStyle w:val="5"/>
        <w:spacing w:before="120" w:after="120" w:line="24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1.4. Giải pháp tối ưu được lựa chọn và lý do lựa chọn</w:t>
      </w:r>
    </w:p>
    <w:p w14:paraId="7CDED101">
      <w:pPr>
        <w:pStyle w:val="36"/>
        <w:spacing w:before="120" w:beforeAutospacing="0" w:after="120" w:afterAutospacing="0"/>
        <w:ind w:firstLine="709"/>
        <w:jc w:val="both"/>
        <w:rPr>
          <w:sz w:val="28"/>
          <w:szCs w:val="28"/>
        </w:rPr>
      </w:pPr>
      <w:r>
        <w:rPr>
          <w:sz w:val="28"/>
          <w:szCs w:val="28"/>
        </w:rPr>
        <w:t xml:space="preserve">Trên cơ sở phân tích, so sánh các giải pháp nêu trên, </w:t>
      </w:r>
      <w:r>
        <w:rPr>
          <w:rStyle w:val="37"/>
          <w:rFonts w:eastAsiaTheme="majorEastAsia"/>
          <w:b w:val="0"/>
          <w:sz w:val="28"/>
          <w:szCs w:val="28"/>
        </w:rPr>
        <w:t>đề xuất lựa chọn Giải pháp 3: Ban hành chính sách hỗ trợ hằng tháng theo khoảng cách từ nơi thường trú đến địa điểm công tác mới</w:t>
      </w:r>
      <w:r>
        <w:rPr>
          <w:b/>
          <w:sz w:val="28"/>
          <w:szCs w:val="28"/>
        </w:rPr>
        <w:t>,</w:t>
      </w:r>
      <w:r>
        <w:rPr>
          <w:sz w:val="28"/>
          <w:szCs w:val="28"/>
        </w:rPr>
        <w:t xml:space="preserve"> với các lý do chủ yếu sau:</w:t>
      </w:r>
    </w:p>
    <w:p w14:paraId="0B05203B">
      <w:pPr>
        <w:pStyle w:val="36"/>
        <w:spacing w:before="120" w:beforeAutospacing="0" w:after="120" w:afterAutospacing="0"/>
        <w:ind w:firstLine="709"/>
        <w:jc w:val="both"/>
        <w:rPr>
          <w:sz w:val="28"/>
          <w:szCs w:val="28"/>
        </w:rPr>
      </w:pPr>
      <w:r>
        <w:rPr>
          <w:sz w:val="28"/>
          <w:szCs w:val="28"/>
        </w:rPr>
        <w:t>Thứ nhất, giải pháp đáp ứng mục tiêu hỗ trợ một phần chi phí phát sinh đối với cán bộ, công chức, viên chức được luân chuyển, điều động, biệt phái theo yêu cầu nhiệm vụ, góp phần tạo điều kiện để người được bố trí công tác xa ổn định đời sống, yên tâm thực hiện nhiệm vụ.</w:t>
      </w:r>
    </w:p>
    <w:p w14:paraId="5EB23D7D">
      <w:pPr>
        <w:pStyle w:val="36"/>
        <w:spacing w:before="120" w:beforeAutospacing="0" w:after="120" w:afterAutospacing="0"/>
        <w:ind w:firstLine="709"/>
        <w:jc w:val="both"/>
        <w:rPr>
          <w:sz w:val="28"/>
          <w:szCs w:val="28"/>
        </w:rPr>
      </w:pPr>
      <w:r>
        <w:rPr>
          <w:sz w:val="28"/>
          <w:szCs w:val="28"/>
        </w:rPr>
        <w:t>Thứ hai, việc xác định mức hỗ trợ theo khoảng cách có cơ sở phản ánh sự khác biệt về điều kiện đi lại, bảo đảm tính hợp lý và công bằng tương đối giữa các trường hợp hưởng chính sách.</w:t>
      </w:r>
    </w:p>
    <w:p w14:paraId="76EDDE3E">
      <w:pPr>
        <w:pStyle w:val="36"/>
        <w:spacing w:before="120" w:beforeAutospacing="0" w:after="120" w:afterAutospacing="0"/>
        <w:ind w:firstLine="709"/>
        <w:jc w:val="both"/>
        <w:rPr>
          <w:sz w:val="28"/>
          <w:szCs w:val="28"/>
        </w:rPr>
      </w:pPr>
      <w:r>
        <w:rPr>
          <w:sz w:val="28"/>
          <w:szCs w:val="28"/>
        </w:rPr>
        <w:t>Thứ ba, chính sách được thiết kế với phạm vi đối tượng, điều kiện, mức hỗ trợ và thời gian hưởng cụ thể, tạo cơ sở để kiểm soát đối tượng, dự toán và chi trả kinh phí, hạn chế việc mở rộng phạm vi hưởng không phù hợp.</w:t>
      </w:r>
    </w:p>
    <w:p w14:paraId="1E73D7B4">
      <w:pPr>
        <w:pStyle w:val="36"/>
        <w:spacing w:before="120" w:beforeAutospacing="0" w:after="120" w:afterAutospacing="0"/>
        <w:ind w:firstLine="709"/>
        <w:jc w:val="both"/>
        <w:rPr>
          <w:sz w:val="28"/>
          <w:szCs w:val="28"/>
        </w:rPr>
      </w:pPr>
      <w:r>
        <w:rPr>
          <w:sz w:val="28"/>
          <w:szCs w:val="28"/>
        </w:rPr>
        <w:t>Thứ tư, việc giao cơ quan, tổ chức, đơn vị quản lý và chi trả chế độ trực tiếp kiểm tra điều kiện hưởng, tổ chức chi trả và quyết toán kinh phí trên cơ sở hồ sơ, dữ liệu hiện có góp phần đơn giản hóa quá trình thực hiện, hạn chế phát sinh thủ tục hành chính và nâng cao trách nhiệm của cơ quan sử dụng cán bộ, công chức, viên chức.</w:t>
      </w:r>
    </w:p>
    <w:p w14:paraId="5D26CC83">
      <w:pPr>
        <w:pStyle w:val="36"/>
        <w:spacing w:before="120" w:beforeAutospacing="0" w:after="120" w:afterAutospacing="0"/>
        <w:ind w:firstLine="709"/>
        <w:jc w:val="both"/>
        <w:rPr>
          <w:sz w:val="28"/>
          <w:szCs w:val="28"/>
        </w:rPr>
      </w:pPr>
      <w:r>
        <w:rPr>
          <w:sz w:val="28"/>
          <w:szCs w:val="28"/>
        </w:rPr>
        <w:t>Thứ năm, chính sách góp phần hỗ trợ thực hiện các phương án điều tiết, phân bổ nguồn nhân lực, phục vụ yêu cầu sắp xếp tổ chức bộ máy và nâng cao hiệu quả hoạt động của chính quyền địa phương hai cấp.</w:t>
      </w:r>
    </w:p>
    <w:p w14:paraId="3480994E">
      <w:pPr>
        <w:pStyle w:val="36"/>
        <w:spacing w:before="120" w:beforeAutospacing="0" w:after="120" w:afterAutospacing="0"/>
        <w:ind w:firstLine="709"/>
        <w:jc w:val="both"/>
        <w:rPr>
          <w:sz w:val="28"/>
          <w:szCs w:val="28"/>
        </w:rPr>
      </w:pPr>
      <w:r>
        <w:rPr>
          <w:sz w:val="28"/>
          <w:szCs w:val="28"/>
        </w:rPr>
        <w:t>Tuy nhiên, để bảo đảm tính khả thi, việc xác định mức hỗ trợ và phạm vi áp dụng cần tiếp tục được rà soát trên cơ sở số đối tượng dự kiến đủ điều kiện, nhu cầu kinh phí từng năm, nguồn kinh phí, phân cấp nhiệm vụ chi và khả năng cân đối ngân sách địa phương.</w:t>
      </w:r>
    </w:p>
    <w:p w14:paraId="44860566">
      <w:pPr>
        <w:pStyle w:val="36"/>
        <w:spacing w:before="120" w:beforeAutospacing="0" w:after="120" w:afterAutospacing="0"/>
        <w:ind w:firstLine="709"/>
        <w:jc w:val="both"/>
        <w:rPr>
          <w:sz w:val="28"/>
          <w:szCs w:val="28"/>
        </w:rPr>
      </w:pPr>
      <w:r>
        <w:rPr>
          <w:sz w:val="28"/>
          <w:szCs w:val="28"/>
        </w:rPr>
        <w:t>Việc lựa chọn phương án chính thức được thực hiện sau khi tổng hợp, tiếp thu ý kiến của các cơ quan, tổ chức, đơn vị có liên quan, nhất là ý kiến của Sở Tài chính về nguồn lực thực hiện và ý kiến thẩm định của Sở Tư pháp.</w:t>
      </w:r>
    </w:p>
    <w:p w14:paraId="6489FF81">
      <w:pPr>
        <w:pStyle w:val="4"/>
        <w:spacing w:before="120" w:after="120" w:line="24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 Đánh giá khả năng tổ chức thực hiện chính sách</w:t>
      </w:r>
    </w:p>
    <w:p w14:paraId="1D1BF5D2">
      <w:pPr>
        <w:pStyle w:val="36"/>
        <w:spacing w:before="120" w:beforeAutospacing="0" w:after="120" w:afterAutospacing="0"/>
        <w:ind w:firstLine="709"/>
        <w:jc w:val="both"/>
        <w:rPr>
          <w:i/>
          <w:iCs/>
          <w:sz w:val="28"/>
          <w:szCs w:val="28"/>
        </w:rPr>
      </w:pPr>
      <w:r>
        <w:rPr>
          <w:rStyle w:val="37"/>
          <w:rFonts w:eastAsiaTheme="majorEastAsia"/>
          <w:i/>
          <w:iCs/>
          <w:sz w:val="28"/>
          <w:szCs w:val="28"/>
        </w:rPr>
        <w:t>2.1. Về đối tượng và điều kiện thực hiện</w:t>
      </w:r>
    </w:p>
    <w:p w14:paraId="54B239BA">
      <w:pPr>
        <w:pStyle w:val="36"/>
        <w:spacing w:before="120" w:beforeAutospacing="0" w:after="120" w:afterAutospacing="0"/>
        <w:ind w:firstLine="709"/>
        <w:jc w:val="both"/>
        <w:rPr>
          <w:sz w:val="28"/>
          <w:szCs w:val="28"/>
        </w:rPr>
      </w:pPr>
      <w:r>
        <w:rPr>
          <w:sz w:val="28"/>
          <w:szCs w:val="28"/>
        </w:rPr>
        <w:t>Các điều kiện hưởng chính sách được xác định trên cơ sở quyết định luân chuyển, điều động, biệt phái của cơ quan có thẩm quyền; nơi thường trú tại thời điểm quyết định có hiệu lực; khoảng cách đến địa điểm công tác mới và thời gian thực tế làm việc tại vị trí, địa bàn thuộc diện hỗ trợ. Đây là những thông tin có thể được kiểm tra, đối chiếu thông qua hồ sơ quản lý nhân sự, dữ liệu cư trú và các tài liệu liên quan.</w:t>
      </w:r>
    </w:p>
    <w:p w14:paraId="545D7680">
      <w:pPr>
        <w:pStyle w:val="36"/>
        <w:spacing w:before="120" w:beforeAutospacing="0" w:after="120" w:afterAutospacing="0"/>
        <w:ind w:firstLine="709"/>
        <w:jc w:val="both"/>
        <w:rPr>
          <w:sz w:val="28"/>
          <w:szCs w:val="28"/>
        </w:rPr>
      </w:pPr>
      <w:r>
        <w:rPr>
          <w:sz w:val="28"/>
          <w:szCs w:val="28"/>
        </w:rPr>
        <w:t>Để bảo đảm thực hiện thống nhất, cần quy định rõ nguyên tắc xác định khoảng cách, thời gian hưởng và việc xử lý khi người hưởng thay đổi địa điểm công tác hoặc không còn đáp ứng điều kiện.</w:t>
      </w:r>
    </w:p>
    <w:p w14:paraId="2097F5DA">
      <w:pPr>
        <w:pStyle w:val="36"/>
        <w:spacing w:before="120" w:beforeAutospacing="0" w:after="120" w:afterAutospacing="0"/>
        <w:ind w:firstLine="709"/>
        <w:jc w:val="both"/>
        <w:rPr>
          <w:i/>
          <w:iCs/>
          <w:sz w:val="28"/>
          <w:szCs w:val="28"/>
        </w:rPr>
      </w:pPr>
      <w:r>
        <w:rPr>
          <w:rStyle w:val="37"/>
          <w:rFonts w:eastAsiaTheme="majorEastAsia"/>
          <w:i/>
          <w:iCs/>
          <w:sz w:val="28"/>
          <w:szCs w:val="28"/>
        </w:rPr>
        <w:t>2.2. Về cơ quan thực hiện</w:t>
      </w:r>
    </w:p>
    <w:p w14:paraId="00BF6E83">
      <w:pPr>
        <w:pStyle w:val="36"/>
        <w:spacing w:before="120" w:beforeAutospacing="0" w:after="120" w:afterAutospacing="0"/>
        <w:ind w:firstLine="709"/>
        <w:jc w:val="both"/>
        <w:rPr>
          <w:sz w:val="28"/>
          <w:szCs w:val="28"/>
        </w:rPr>
      </w:pPr>
      <w:r>
        <w:rPr>
          <w:sz w:val="28"/>
          <w:szCs w:val="28"/>
        </w:rPr>
        <w:t>Cơ quan, tổ chức, đơn vị có trách nhiệm quản lý và chi trả chế độ chủ động kiểm tra điều kiện, xác định mức hỗ trợ, thực hiện chi trả, theo dõi biến động và quản lý hồ sơ, chứng từ theo quy định.</w:t>
      </w:r>
    </w:p>
    <w:p w14:paraId="4AFF418D">
      <w:pPr>
        <w:pStyle w:val="36"/>
        <w:spacing w:before="120" w:beforeAutospacing="0" w:after="120" w:afterAutospacing="0"/>
        <w:ind w:firstLine="709"/>
        <w:jc w:val="both"/>
        <w:rPr>
          <w:sz w:val="28"/>
          <w:szCs w:val="28"/>
        </w:rPr>
      </w:pPr>
      <w:r>
        <w:rPr>
          <w:sz w:val="28"/>
          <w:szCs w:val="28"/>
        </w:rPr>
        <w:t>Việc giao trách nhiệm trực tiếp cho cơ quan quản lý, chi trả chế độ phù hợp với yêu cầu đơn giản hóa quy trình tổ chức thực hiện, đồng thời tăng trách nhiệm của người đứng đầu trong xác định đúng đối tượng và sử dụng kinh phí.</w:t>
      </w:r>
    </w:p>
    <w:p w14:paraId="3D828D46">
      <w:pPr>
        <w:pStyle w:val="36"/>
        <w:spacing w:before="120" w:beforeAutospacing="0" w:after="120" w:afterAutospacing="0"/>
        <w:ind w:firstLine="709"/>
        <w:jc w:val="both"/>
        <w:rPr>
          <w:i/>
          <w:iCs/>
          <w:sz w:val="28"/>
          <w:szCs w:val="28"/>
        </w:rPr>
      </w:pPr>
      <w:r>
        <w:rPr>
          <w:rStyle w:val="37"/>
          <w:rFonts w:eastAsiaTheme="majorEastAsia"/>
          <w:i/>
          <w:iCs/>
          <w:sz w:val="28"/>
          <w:szCs w:val="28"/>
        </w:rPr>
        <w:t>2.3. Về nguồn lực thực hiện</w:t>
      </w:r>
    </w:p>
    <w:p w14:paraId="54728D92">
      <w:pPr>
        <w:pStyle w:val="36"/>
        <w:spacing w:before="120" w:beforeAutospacing="0" w:after="120" w:afterAutospacing="0"/>
        <w:ind w:firstLine="709"/>
        <w:jc w:val="both"/>
        <w:rPr>
          <w:sz w:val="28"/>
          <w:szCs w:val="28"/>
        </w:rPr>
      </w:pPr>
      <w:r>
        <w:rPr>
          <w:sz w:val="28"/>
          <w:szCs w:val="28"/>
        </w:rPr>
        <w:t>Kinh phí hỗ trợ dự kiến do ngân sách địa phương bảo đảm theo phân cấp ngân sách hiện hành. Việc xác định nhu cầu kinh phí cần căn cứ số người thực tế đủ điều kiện hưởng theo từng năm, mức hỗ trợ tương ứng với khoảng cách và thời gian hưởng thực tế.</w:t>
      </w:r>
    </w:p>
    <w:p w14:paraId="49ADFD65">
      <w:pPr>
        <w:pStyle w:val="36"/>
        <w:spacing w:before="120" w:beforeAutospacing="0" w:after="120" w:afterAutospacing="0"/>
        <w:ind w:firstLine="709"/>
        <w:jc w:val="both"/>
        <w:rPr>
          <w:sz w:val="28"/>
          <w:szCs w:val="28"/>
        </w:rPr>
      </w:pPr>
      <w:r>
        <w:rPr>
          <w:sz w:val="28"/>
          <w:szCs w:val="28"/>
        </w:rPr>
        <w:t>Công thức xác định kinh phí hỗ trợ hằng năm:</w:t>
      </w:r>
    </w:p>
    <w:p w14:paraId="32DEDFFD">
      <w:pPr>
        <w:pStyle w:val="36"/>
        <w:spacing w:before="120" w:beforeAutospacing="0" w:after="120" w:afterAutospacing="0"/>
        <w:ind w:firstLine="709"/>
        <w:jc w:val="both"/>
        <w:rPr>
          <w:b/>
          <w:sz w:val="28"/>
          <w:szCs w:val="28"/>
        </w:rPr>
      </w:pPr>
      <w:r>
        <w:rPr>
          <w:rStyle w:val="37"/>
          <w:rFonts w:eastAsiaTheme="majorEastAsia"/>
          <w:b w:val="0"/>
          <w:sz w:val="28"/>
          <w:szCs w:val="28"/>
        </w:rPr>
        <w:t>Kinh phí = Tổng số người đủ điều kiện theo từng mức hỗ trợ × Mức hỗ trợ tương ứng × Số tháng thực tế được hưởng.</w:t>
      </w:r>
    </w:p>
    <w:p w14:paraId="2B43ADA6">
      <w:pPr>
        <w:pStyle w:val="36"/>
        <w:spacing w:before="120" w:beforeAutospacing="0" w:after="120" w:afterAutospacing="0"/>
        <w:ind w:firstLine="709"/>
        <w:jc w:val="both"/>
        <w:rPr>
          <w:sz w:val="28"/>
          <w:szCs w:val="28"/>
        </w:rPr>
      </w:pPr>
      <w:r>
        <w:rPr>
          <w:sz w:val="28"/>
          <w:szCs w:val="28"/>
        </w:rPr>
        <w:t>Đối với người chỉ hưởng một phần thời gian trong năm hoặc thay đổi mức hỗ trợ, kinh phí được tính tương ứng với thời gian và điều kiện hưởng thực tế.</w:t>
      </w:r>
    </w:p>
    <w:p w14:paraId="5E6990BF">
      <w:pPr>
        <w:pStyle w:val="36"/>
        <w:spacing w:before="120" w:beforeAutospacing="0" w:after="120" w:afterAutospacing="0"/>
        <w:ind w:firstLine="709"/>
        <w:jc w:val="both"/>
        <w:rPr>
          <w:sz w:val="28"/>
          <w:szCs w:val="28"/>
        </w:rPr>
      </w:pPr>
      <w:r>
        <w:rPr>
          <w:sz w:val="28"/>
          <w:szCs w:val="28"/>
        </w:rPr>
        <w:t>Cơ quan chủ trì soạn thảo phối hợp với Sở Tài chính rà soát nhu cầu kinh phí, xác định nguồn bảo đảm, phân cấp nhiệm vụ chi và đánh giá khả năng cân đối ngân sách địa phương.</w:t>
      </w:r>
    </w:p>
    <w:p w14:paraId="12E2C841">
      <w:pPr>
        <w:pStyle w:val="36"/>
        <w:spacing w:before="120" w:beforeAutospacing="0" w:after="120" w:afterAutospacing="0"/>
        <w:ind w:firstLine="709"/>
        <w:jc w:val="both"/>
        <w:rPr>
          <w:i/>
          <w:iCs/>
          <w:sz w:val="28"/>
          <w:szCs w:val="28"/>
        </w:rPr>
      </w:pPr>
      <w:r>
        <w:rPr>
          <w:rStyle w:val="37"/>
          <w:rFonts w:eastAsiaTheme="majorEastAsia"/>
          <w:i/>
          <w:iCs/>
          <w:sz w:val="28"/>
          <w:szCs w:val="28"/>
        </w:rPr>
        <w:t>2.4. Về những rủi ro và biện pháp kiểm soát</w:t>
      </w:r>
    </w:p>
    <w:p w14:paraId="2129296D">
      <w:pPr>
        <w:pStyle w:val="36"/>
        <w:spacing w:before="120" w:beforeAutospacing="0" w:after="120" w:afterAutospacing="0"/>
        <w:ind w:firstLine="709"/>
        <w:jc w:val="both"/>
        <w:rPr>
          <w:sz w:val="28"/>
          <w:szCs w:val="28"/>
        </w:rPr>
      </w:pPr>
      <w:r>
        <w:rPr>
          <w:sz w:val="28"/>
          <w:szCs w:val="28"/>
        </w:rPr>
        <w:t>Một số rủi ro có thể phát sinh gồm: xác định không thống nhất về nơi thường trú, khoảng cách; hỗ trợ không đúng đối tượng; chi trả trùng chính sách; tiếp tục chi trả khi đối tượng không còn đủ điều kiện; phát sinh kinh phí vượt dự toán.</w:t>
      </w:r>
    </w:p>
    <w:p w14:paraId="4326FCD6">
      <w:pPr>
        <w:pStyle w:val="36"/>
        <w:spacing w:before="120" w:beforeAutospacing="0" w:after="120" w:afterAutospacing="0"/>
        <w:ind w:firstLine="709"/>
        <w:jc w:val="both"/>
        <w:rPr>
          <w:sz w:val="28"/>
          <w:szCs w:val="28"/>
        </w:rPr>
      </w:pPr>
      <w:r>
        <w:rPr>
          <w:sz w:val="28"/>
          <w:szCs w:val="28"/>
        </w:rPr>
        <w:t>Để hạn chế các rủi ro trên, cần quy định rõ điều kiện hưởng, trách nhiệm của cơ quan thực hiện chi trả, cơ chế theo dõi biến động và việc kiểm tra, thanh tra, quyết toán kinh phí theo quy định.</w:t>
      </w:r>
    </w:p>
    <w:p w14:paraId="49BE6719">
      <w:pPr>
        <w:pStyle w:val="4"/>
        <w:spacing w:before="120" w:after="120" w:line="24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3. Kết luận về tác động của chính sách</w:t>
      </w:r>
    </w:p>
    <w:p w14:paraId="2885FD41">
      <w:pPr>
        <w:pStyle w:val="36"/>
        <w:spacing w:before="120" w:beforeAutospacing="0" w:after="120" w:afterAutospacing="0"/>
        <w:ind w:firstLine="709"/>
        <w:jc w:val="both"/>
        <w:rPr>
          <w:sz w:val="28"/>
          <w:szCs w:val="28"/>
        </w:rPr>
      </w:pPr>
      <w:r>
        <w:rPr>
          <w:sz w:val="28"/>
          <w:szCs w:val="28"/>
        </w:rPr>
        <w:t>Qua đánh giá cho thấy, việc ban hành chính sách hỗ trợ đối với cán bộ, công chức, viên chức được luân chuyển, điều động, biệt phái theo yêu cầu nhiệm vụ có thể tạo ra những tác động tích cực về kinh tế – xã hội, góp phần giảm khó khăn về chi phí phát sinh đối với người được bố trí công tác xa, đồng thời hỗ trợ việc thực hiện các phương án điều tiết, phân bổ và sử dụng hiệu quả nguồn nhân lực trên địa bàn tỉnh.</w:t>
      </w:r>
    </w:p>
    <w:p w14:paraId="375171EB">
      <w:pPr>
        <w:pStyle w:val="36"/>
        <w:spacing w:before="120" w:beforeAutospacing="0" w:after="120" w:afterAutospacing="0"/>
        <w:ind w:firstLine="709"/>
        <w:jc w:val="both"/>
        <w:rPr>
          <w:sz w:val="28"/>
          <w:szCs w:val="28"/>
        </w:rPr>
      </w:pPr>
      <w:r>
        <w:rPr>
          <w:sz w:val="28"/>
          <w:szCs w:val="28"/>
        </w:rPr>
        <w:t>Giải pháp hỗ trợ theo khoảng cách có ưu điểm về tính minh bạch, khả năng xác định điều kiện hưởng và sự phù hợp tương đối với chi phí phát sinh. Tuy nhiên, chính sách làm phát sinh nhiệm vụ chi ngân sách và đặt ra yêu cầu kiểm soát chặt chẽ đối tượng, điều kiện, thời gian hưởng, tránh trùng lặp chế độ.</w:t>
      </w:r>
    </w:p>
    <w:p w14:paraId="4A8C0CE7">
      <w:pPr>
        <w:pStyle w:val="36"/>
        <w:spacing w:before="120" w:beforeAutospacing="0" w:after="120" w:afterAutospacing="0"/>
        <w:ind w:firstLine="709"/>
        <w:jc w:val="both"/>
        <w:rPr>
          <w:sz w:val="28"/>
          <w:szCs w:val="28"/>
        </w:rPr>
      </w:pPr>
      <w:r>
        <w:rPr>
          <w:sz w:val="28"/>
          <w:szCs w:val="28"/>
        </w:rPr>
        <w:t>Vì vậy, việc lựa chọn, hoàn thiện và tổ chức thực hiện chính sách cần gắn với khả năng cân đối ngân sách địa phương, bảo đảm đúng thẩm quyền, phù hợp với các quy định pháp luật có liên quan, đồng thời đơn giản hóa hồ sơ, quy trình quản lý và chi trả.</w:t>
      </w:r>
    </w:p>
    <w:p w14:paraId="79D7CD29">
      <w:pPr>
        <w:pStyle w:val="36"/>
        <w:spacing w:before="120" w:beforeAutospacing="0" w:after="120" w:afterAutospacing="0"/>
        <w:ind w:firstLine="709"/>
        <w:jc w:val="both"/>
        <w:rPr>
          <w:rStyle w:val="37"/>
          <w:rFonts w:eastAsiaTheme="majorEastAsia"/>
          <w:b w:val="0"/>
          <w:sz w:val="28"/>
          <w:szCs w:val="28"/>
        </w:rPr>
      </w:pPr>
      <w:r>
        <w:rPr>
          <w:rStyle w:val="37"/>
          <w:rFonts w:eastAsiaTheme="majorEastAsia"/>
          <w:b w:val="0"/>
          <w:sz w:val="28"/>
          <w:szCs w:val="28"/>
        </w:rPr>
        <w:t xml:space="preserve">Trên cơ sở kết quả đánh giá, đề xuất tiếp tục hoàn thiện dự thảo Nghị quyết theo giải pháp hỗ trợ hằng tháng phân hóa theo khoảng cách, sau khi tiếp thu ý kiến của các cơ quan, tổ chức, đơn vị có liên quan và hoàn thành việc rà soát nguồn lực, đánh giá tính pháp lý, tính khả thi của chính sách./. </w:t>
      </w:r>
    </w:p>
    <w:tbl>
      <w:tblPr>
        <w:tblStyle w:val="12"/>
        <w:tblW w:w="0" w:type="auto"/>
        <w:tblInd w:w="0" w:type="dxa"/>
        <w:tblLayout w:type="autofit"/>
        <w:tblCellMar>
          <w:top w:w="0" w:type="dxa"/>
          <w:left w:w="108" w:type="dxa"/>
          <w:bottom w:w="0" w:type="dxa"/>
          <w:right w:w="108" w:type="dxa"/>
        </w:tblCellMar>
      </w:tblPr>
      <w:tblGrid>
        <w:gridCol w:w="4839"/>
        <w:gridCol w:w="4165"/>
      </w:tblGrid>
      <w:tr w14:paraId="787D9707">
        <w:tblPrEx>
          <w:tblCellMar>
            <w:top w:w="0" w:type="dxa"/>
            <w:left w:w="108" w:type="dxa"/>
            <w:bottom w:w="0" w:type="dxa"/>
            <w:right w:w="108" w:type="dxa"/>
          </w:tblCellMar>
        </w:tblPrEx>
        <w:tc>
          <w:tcPr>
            <w:tcW w:w="4839" w:type="dxa"/>
          </w:tcPr>
          <w:p w14:paraId="66E69687">
            <w:pPr>
              <w:spacing w:after="0" w:line="240" w:lineRule="auto"/>
              <w:jc w:val="both"/>
              <w:rPr>
                <w:b/>
                <w:bCs/>
                <w:i/>
                <w:iCs/>
              </w:rPr>
            </w:pPr>
            <w:r>
              <w:rPr>
                <w:b/>
                <w:bCs/>
                <w:i/>
                <w:iCs/>
              </w:rPr>
              <w:t>Nơi nhận:</w:t>
            </w:r>
          </w:p>
          <w:p w14:paraId="3729A3F7">
            <w:pPr>
              <w:spacing w:after="0" w:line="240" w:lineRule="auto"/>
              <w:jc w:val="both"/>
              <w:rPr>
                <w:sz w:val="22"/>
              </w:rPr>
            </w:pPr>
            <w:r>
              <w:rPr>
                <w:sz w:val="22"/>
              </w:rPr>
              <w:t>- Như trên;</w:t>
            </w:r>
          </w:p>
          <w:p w14:paraId="53841C49">
            <w:pPr>
              <w:spacing w:after="0" w:line="240" w:lineRule="auto"/>
              <w:jc w:val="both"/>
              <w:rPr>
                <w:sz w:val="22"/>
              </w:rPr>
            </w:pPr>
            <w:r>
              <w:rPr>
                <w:sz w:val="22"/>
              </w:rPr>
              <w:t>- UBND tỉnh (để b/c);</w:t>
            </w:r>
          </w:p>
          <w:p w14:paraId="0E3E0965">
            <w:pPr>
              <w:spacing w:after="0" w:line="240" w:lineRule="auto"/>
              <w:jc w:val="both"/>
              <w:rPr>
                <w:sz w:val="22"/>
              </w:rPr>
            </w:pPr>
            <w:r>
              <w:rPr>
                <w:sz w:val="22"/>
              </w:rPr>
              <w:t>- Sở Tư pháp (để p/h);</w:t>
            </w:r>
          </w:p>
          <w:p w14:paraId="7CFB183E">
            <w:pPr>
              <w:spacing w:after="0" w:line="240" w:lineRule="auto"/>
              <w:jc w:val="both"/>
              <w:rPr>
                <w:sz w:val="22"/>
              </w:rPr>
            </w:pPr>
            <w:r>
              <w:rPr>
                <w:sz w:val="22"/>
              </w:rPr>
              <w:t>- Giám đốc, các PGĐ Sở;</w:t>
            </w:r>
          </w:p>
          <w:p w14:paraId="47DDF756">
            <w:pPr>
              <w:spacing w:after="0" w:line="240" w:lineRule="auto"/>
              <w:jc w:val="both"/>
              <w:rPr>
                <w:sz w:val="22"/>
              </w:rPr>
            </w:pPr>
            <w:r>
              <w:rPr>
                <w:sz w:val="22"/>
              </w:rPr>
              <w:t>- Lưu: VT, CCVC.</w:t>
            </w:r>
          </w:p>
        </w:tc>
        <w:tc>
          <w:tcPr>
            <w:tcW w:w="4165" w:type="dxa"/>
          </w:tcPr>
          <w:p w14:paraId="29667EFA">
            <w:pPr>
              <w:spacing w:after="0" w:line="240" w:lineRule="auto"/>
              <w:jc w:val="center"/>
              <w:rPr>
                <w:b/>
                <w:bCs/>
                <w:sz w:val="28"/>
                <w:szCs w:val="28"/>
              </w:rPr>
            </w:pPr>
            <w:r>
              <w:rPr>
                <w:b/>
                <w:bCs/>
                <w:sz w:val="28"/>
                <w:szCs w:val="28"/>
              </w:rPr>
              <w:t>GIÁM ĐỐC</w:t>
            </w:r>
          </w:p>
          <w:p w14:paraId="5C220367">
            <w:pPr>
              <w:spacing w:after="0" w:line="240" w:lineRule="auto"/>
              <w:jc w:val="center"/>
              <w:rPr>
                <w:b/>
                <w:bCs/>
                <w:sz w:val="28"/>
                <w:szCs w:val="28"/>
              </w:rPr>
            </w:pPr>
          </w:p>
          <w:p w14:paraId="1FE9644E">
            <w:pPr>
              <w:spacing w:after="0" w:line="240" w:lineRule="auto"/>
              <w:rPr>
                <w:b/>
                <w:bCs/>
                <w:sz w:val="48"/>
              </w:rPr>
            </w:pPr>
          </w:p>
          <w:p w14:paraId="57B9CEAA">
            <w:pPr>
              <w:spacing w:after="0" w:line="240" w:lineRule="auto"/>
              <w:rPr>
                <w:b/>
                <w:bCs/>
                <w:sz w:val="48"/>
              </w:rPr>
            </w:pPr>
          </w:p>
          <w:p w14:paraId="0E3A30CB">
            <w:pPr>
              <w:spacing w:after="0" w:line="240" w:lineRule="auto"/>
              <w:rPr>
                <w:b/>
                <w:bCs/>
                <w:sz w:val="48"/>
              </w:rPr>
            </w:pPr>
          </w:p>
          <w:p w14:paraId="696E97D6">
            <w:pPr>
              <w:spacing w:after="0" w:line="240" w:lineRule="auto"/>
              <w:rPr>
                <w:b/>
                <w:bCs/>
                <w:sz w:val="14"/>
              </w:rPr>
            </w:pPr>
          </w:p>
          <w:p w14:paraId="52C3E081">
            <w:pPr>
              <w:spacing w:after="0" w:line="240" w:lineRule="auto"/>
              <w:jc w:val="center"/>
              <w:rPr>
                <w:b/>
                <w:bCs/>
                <w:sz w:val="22"/>
              </w:rPr>
            </w:pPr>
          </w:p>
          <w:p w14:paraId="3F88A70E">
            <w:pPr>
              <w:spacing w:after="0" w:line="240" w:lineRule="auto"/>
              <w:jc w:val="center"/>
              <w:rPr>
                <w:b/>
                <w:bCs/>
                <w:sz w:val="28"/>
                <w:szCs w:val="28"/>
              </w:rPr>
            </w:pPr>
            <w:r>
              <w:rPr>
                <w:b/>
                <w:bCs/>
                <w:sz w:val="28"/>
                <w:szCs w:val="28"/>
              </w:rPr>
              <w:t>Trịnh Văn Ngọc</w:t>
            </w:r>
          </w:p>
        </w:tc>
      </w:tr>
    </w:tbl>
    <w:p w14:paraId="0517EAAC">
      <w:pPr>
        <w:pStyle w:val="36"/>
      </w:pPr>
    </w:p>
    <w:sectPr>
      <w:headerReference r:id="rId5" w:type="default"/>
      <w:pgSz w:w="11906" w:h="16838"/>
      <w:pgMar w:top="1134" w:right="1134" w:bottom="1134" w:left="1701"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auto"/>
    <w:pitch w:val="default"/>
    <w:sig w:usb0="00000000" w:usb1="00000000" w:usb2="00000000" w:usb3="00000000" w:csb0="00000001" w:csb1="00000000"/>
  </w:font>
  <w:font w:name="TimesNewRomanPSMT">
    <w:altName w:val="Times New Roman"/>
    <w:panose1 w:val="00000000000000000000"/>
    <w:charset w:val="00"/>
    <w:family w:val="roman"/>
    <w:pitch w:val="default"/>
    <w:sig w:usb0="00000000" w:usb1="00000000" w:usb2="00000000" w:usb3="00000000" w:csb0="0000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52707591"/>
      <w:docPartObj>
        <w:docPartGallery w:val="AutoText"/>
      </w:docPartObj>
    </w:sdtPr>
    <w:sdtContent>
      <w:p w14:paraId="3433EC79">
        <w:pPr>
          <w:pStyle w:val="22"/>
          <w:jc w:val="center"/>
        </w:pPr>
        <w:r>
          <w:fldChar w:fldCharType="begin"/>
        </w:r>
        <w:r>
          <w:instrText xml:space="preserve"> PAGE   \* MERGEFORMAT </w:instrText>
        </w:r>
        <w:r>
          <w:fldChar w:fldCharType="separate"/>
        </w:r>
        <w:r>
          <w:t>7</w:t>
        </w:r>
        <w:r>
          <w:fldChar w:fldCharType="end"/>
        </w:r>
      </w:p>
    </w:sdtContent>
  </w:sdt>
  <w:p w14:paraId="4703ACDB">
    <w:pPr>
      <w:pStyle w:val="2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4"/>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7"/>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32"/>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6"/>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2FB6"/>
    <w:rsid w:val="00034616"/>
    <w:rsid w:val="0006063C"/>
    <w:rsid w:val="00065CD2"/>
    <w:rsid w:val="000A7141"/>
    <w:rsid w:val="000F11EA"/>
    <w:rsid w:val="001213AF"/>
    <w:rsid w:val="0015074B"/>
    <w:rsid w:val="00205D83"/>
    <w:rsid w:val="00207B24"/>
    <w:rsid w:val="00247E38"/>
    <w:rsid w:val="0029639D"/>
    <w:rsid w:val="00321F96"/>
    <w:rsid w:val="00326F90"/>
    <w:rsid w:val="003531B1"/>
    <w:rsid w:val="003D3660"/>
    <w:rsid w:val="00405CFC"/>
    <w:rsid w:val="00426C24"/>
    <w:rsid w:val="00434483"/>
    <w:rsid w:val="00566A38"/>
    <w:rsid w:val="006B7E3C"/>
    <w:rsid w:val="0072230A"/>
    <w:rsid w:val="007443F6"/>
    <w:rsid w:val="00750D78"/>
    <w:rsid w:val="00797756"/>
    <w:rsid w:val="008517F4"/>
    <w:rsid w:val="00882016"/>
    <w:rsid w:val="008B717C"/>
    <w:rsid w:val="008B7B47"/>
    <w:rsid w:val="00907529"/>
    <w:rsid w:val="0091157A"/>
    <w:rsid w:val="00994AC1"/>
    <w:rsid w:val="00AA1D8D"/>
    <w:rsid w:val="00B47730"/>
    <w:rsid w:val="00BB1FF4"/>
    <w:rsid w:val="00BC2A23"/>
    <w:rsid w:val="00BE0DAA"/>
    <w:rsid w:val="00CB0664"/>
    <w:rsid w:val="00CE3B3C"/>
    <w:rsid w:val="00D0206E"/>
    <w:rsid w:val="00D43237"/>
    <w:rsid w:val="00D61820"/>
    <w:rsid w:val="00EA2529"/>
    <w:rsid w:val="00F74AB2"/>
    <w:rsid w:val="00FB46DA"/>
    <w:rsid w:val="00FC693F"/>
    <w:rsid w:val="4F546DC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qFormat="1"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qFormat="1"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qFormat="1"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qFormat="1" w:unhideWhenUsed="0" w:uiPriority="69" w:semiHidden="0" w:name="Medium Grid 3 Accent 5"/>
    <w:lsdException w:qFormat="1"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80" w:line="276" w:lineRule="auto"/>
    </w:pPr>
    <w:rPr>
      <w:rFonts w:ascii="Times New Roman" w:hAnsi="Times New Roman" w:eastAsiaTheme="minorEastAsia" w:cstheme="minorBidi"/>
      <w:sz w:val="26"/>
      <w:szCs w:val="22"/>
      <w:lang w:val="en-US" w:eastAsia="en-US" w:bidi="ar-SA"/>
    </w:rPr>
  </w:style>
  <w:style w:type="paragraph" w:styleId="2">
    <w:name w:val="heading 1"/>
    <w:basedOn w:val="1"/>
    <w:next w:val="1"/>
    <w:link w:val="142"/>
    <w:qFormat/>
    <w:uiPriority w:val="9"/>
    <w:pPr>
      <w:keepNext/>
      <w:keepLines/>
      <w:spacing w:before="480" w:after="0"/>
      <w:outlineLvl w:val="0"/>
    </w:pPr>
    <w:rPr>
      <w:rFonts w:asciiTheme="majorHAnsi" w:hAnsiTheme="majorHAnsi" w:eastAsiaTheme="majorEastAsia" w:cstheme="majorBidi"/>
      <w:b/>
      <w:bCs/>
      <w:sz w:val="28"/>
      <w:szCs w:val="28"/>
    </w:rPr>
  </w:style>
  <w:style w:type="paragraph" w:styleId="3">
    <w:name w:val="heading 2"/>
    <w:basedOn w:val="1"/>
    <w:next w:val="1"/>
    <w:link w:val="143"/>
    <w:unhideWhenUsed/>
    <w:qFormat/>
    <w:uiPriority w:val="9"/>
    <w:pPr>
      <w:keepNext/>
      <w:keepLines/>
      <w:spacing w:before="200" w:after="0"/>
      <w:outlineLvl w:val="1"/>
    </w:pPr>
    <w:rPr>
      <w:rFonts w:asciiTheme="majorHAnsi" w:hAnsiTheme="majorHAnsi" w:eastAsiaTheme="majorEastAsia" w:cstheme="majorBidi"/>
      <w:b/>
      <w:bCs/>
      <w:szCs w:val="26"/>
    </w:rPr>
  </w:style>
  <w:style w:type="paragraph" w:styleId="4">
    <w:name w:val="heading 3"/>
    <w:basedOn w:val="1"/>
    <w:next w:val="1"/>
    <w:link w:val="144"/>
    <w:unhideWhenUsed/>
    <w:qFormat/>
    <w:uiPriority w:val="9"/>
    <w:pPr>
      <w:keepNext/>
      <w:keepLines/>
      <w:spacing w:before="200" w:after="0"/>
      <w:outlineLvl w:val="2"/>
    </w:pPr>
    <w:rPr>
      <w:rFonts w:asciiTheme="majorHAnsi" w:hAnsiTheme="majorHAnsi" w:eastAsiaTheme="majorEastAsia" w:cstheme="majorBidi"/>
      <w:b/>
      <w:bCs/>
      <w:color w:val="5B9BD5" w:themeColor="accent1"/>
      <w14:textFill>
        <w14:solidFill>
          <w14:schemeClr w14:val="accent1"/>
        </w14:solidFill>
      </w14:textFill>
    </w:rPr>
  </w:style>
  <w:style w:type="paragraph" w:styleId="5">
    <w:name w:val="heading 4"/>
    <w:basedOn w:val="1"/>
    <w:next w:val="1"/>
    <w:link w:val="154"/>
    <w:semiHidden/>
    <w:unhideWhenUsed/>
    <w:qFormat/>
    <w:uiPriority w:val="9"/>
    <w:pPr>
      <w:keepNext/>
      <w:keepLines/>
      <w:spacing w:before="200" w:after="0"/>
      <w:outlineLvl w:val="3"/>
    </w:pPr>
    <w:rPr>
      <w:rFonts w:asciiTheme="majorHAnsi" w:hAnsiTheme="majorHAnsi" w:eastAsiaTheme="majorEastAsia" w:cstheme="majorBidi"/>
      <w:b/>
      <w:bCs/>
      <w:i/>
      <w:iCs/>
      <w:color w:val="5B9BD5" w:themeColor="accent1"/>
      <w14:textFill>
        <w14:solidFill>
          <w14:schemeClr w14:val="accent1"/>
        </w14:solidFill>
      </w14:textFill>
    </w:rPr>
  </w:style>
  <w:style w:type="paragraph" w:styleId="6">
    <w:name w:val="heading 5"/>
    <w:basedOn w:val="1"/>
    <w:next w:val="1"/>
    <w:link w:val="155"/>
    <w:semiHidden/>
    <w:unhideWhenUsed/>
    <w:qFormat/>
    <w:uiPriority w:val="9"/>
    <w:pPr>
      <w:keepNext/>
      <w:keepLines/>
      <w:spacing w:before="200" w:after="0"/>
      <w:outlineLvl w:val="4"/>
    </w:pPr>
    <w:rPr>
      <w:rFonts w:asciiTheme="majorHAnsi" w:hAnsiTheme="majorHAnsi" w:eastAsiaTheme="majorEastAsia" w:cstheme="majorBidi"/>
      <w:color w:val="1F4E79" w:themeColor="accent1" w:themeShade="80"/>
    </w:rPr>
  </w:style>
  <w:style w:type="paragraph" w:styleId="7">
    <w:name w:val="heading 6"/>
    <w:basedOn w:val="1"/>
    <w:next w:val="1"/>
    <w:link w:val="156"/>
    <w:semiHidden/>
    <w:unhideWhenUsed/>
    <w:qFormat/>
    <w:uiPriority w:val="9"/>
    <w:pPr>
      <w:keepNext/>
      <w:keepLines/>
      <w:spacing w:before="200" w:after="0"/>
      <w:outlineLvl w:val="5"/>
    </w:pPr>
    <w:rPr>
      <w:rFonts w:asciiTheme="majorHAnsi" w:hAnsiTheme="majorHAnsi" w:eastAsiaTheme="majorEastAsia" w:cstheme="majorBidi"/>
      <w:i/>
      <w:iCs/>
      <w:color w:val="1F4E79" w:themeColor="accent1" w:themeShade="80"/>
    </w:rPr>
  </w:style>
  <w:style w:type="paragraph" w:styleId="8">
    <w:name w:val="heading 7"/>
    <w:basedOn w:val="1"/>
    <w:next w:val="1"/>
    <w:link w:val="157"/>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8"/>
    <w:semiHidden/>
    <w:unhideWhenUsed/>
    <w:qFormat/>
    <w:uiPriority w:val="9"/>
    <w:pPr>
      <w:keepNext/>
      <w:keepLines/>
      <w:spacing w:before="200" w:after="0"/>
      <w:outlineLvl w:val="7"/>
    </w:pPr>
    <w:rPr>
      <w:rFonts w:asciiTheme="majorHAnsi" w:hAnsiTheme="majorHAnsi" w:eastAsiaTheme="majorEastAsia" w:cstheme="majorBidi"/>
      <w:color w:val="5B9BD5" w:themeColor="accent1"/>
      <w:sz w:val="20"/>
      <w:szCs w:val="20"/>
      <w14:textFill>
        <w14:solidFill>
          <w14:schemeClr w14:val="accent1"/>
        </w14:solidFill>
      </w14:textFill>
    </w:rPr>
  </w:style>
  <w:style w:type="paragraph" w:styleId="10">
    <w:name w:val="heading 9"/>
    <w:basedOn w:val="1"/>
    <w:next w:val="1"/>
    <w:link w:val="159"/>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8"/>
    <w:unhideWhenUsed/>
    <w:uiPriority w:val="99"/>
    <w:pPr>
      <w:spacing w:after="120"/>
    </w:pPr>
  </w:style>
  <w:style w:type="paragraph" w:styleId="14">
    <w:name w:val="Body Text 2"/>
    <w:basedOn w:val="1"/>
    <w:link w:val="149"/>
    <w:unhideWhenUsed/>
    <w:uiPriority w:val="99"/>
    <w:pPr>
      <w:spacing w:after="120" w:line="480" w:lineRule="auto"/>
    </w:pPr>
  </w:style>
  <w:style w:type="paragraph" w:styleId="15">
    <w:name w:val="Body Text 3"/>
    <w:basedOn w:val="1"/>
    <w:link w:val="150"/>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5B9BD5"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40"/>
    <w:unhideWhenUsed/>
    <w:uiPriority w:val="99"/>
    <w:pPr>
      <w:tabs>
        <w:tab w:val="center" w:pos="4680"/>
        <w:tab w:val="right" w:pos="9360"/>
      </w:tabs>
      <w:spacing w:after="0" w:line="240" w:lineRule="auto"/>
    </w:pPr>
  </w:style>
  <w:style w:type="character" w:styleId="19">
    <w:name w:val="footnote reference"/>
    <w:link w:val="20"/>
    <w:qFormat/>
    <w:uiPriority w:val="0"/>
    <w:rPr>
      <w:vertAlign w:val="superscript"/>
    </w:rPr>
  </w:style>
  <w:style w:type="paragraph" w:customStyle="1" w:styleId="20">
    <w:name w:val="BVI fnr Car Car"/>
    <w:basedOn w:val="1"/>
    <w:link w:val="19"/>
    <w:qFormat/>
    <w:uiPriority w:val="0"/>
    <w:pPr>
      <w:spacing w:after="160" w:line="240" w:lineRule="exact"/>
    </w:pPr>
    <w:rPr>
      <w:rFonts w:asciiTheme="minorHAnsi" w:hAnsiTheme="minorHAnsi"/>
      <w:sz w:val="22"/>
      <w:vertAlign w:val="superscript"/>
    </w:rPr>
  </w:style>
  <w:style w:type="paragraph" w:styleId="21">
    <w:name w:val="footnote text"/>
    <w:basedOn w:val="1"/>
    <w:link w:val="169"/>
    <w:qFormat/>
    <w:uiPriority w:val="0"/>
    <w:pPr>
      <w:spacing w:after="0" w:line="240" w:lineRule="auto"/>
    </w:pPr>
    <w:rPr>
      <w:rFonts w:eastAsia="Times New Roman" w:cs="Times New Roman"/>
      <w:sz w:val="20"/>
      <w:szCs w:val="20"/>
    </w:rPr>
  </w:style>
  <w:style w:type="paragraph" w:styleId="22">
    <w:name w:val="header"/>
    <w:basedOn w:val="1"/>
    <w:link w:val="139"/>
    <w:unhideWhenUsed/>
    <w:uiPriority w:val="99"/>
    <w:pPr>
      <w:tabs>
        <w:tab w:val="center" w:pos="4680"/>
        <w:tab w:val="right" w:pos="9360"/>
      </w:tabs>
      <w:spacing w:after="0" w:line="240" w:lineRule="auto"/>
    </w:pPr>
  </w:style>
  <w:style w:type="paragraph" w:styleId="23">
    <w:name w:val="List"/>
    <w:basedOn w:val="1"/>
    <w:unhideWhenUsed/>
    <w:uiPriority w:val="99"/>
    <w:pPr>
      <w:ind w:left="360" w:hanging="360"/>
      <w:contextualSpacing/>
    </w:pPr>
  </w:style>
  <w:style w:type="paragraph" w:styleId="24">
    <w:name w:val="List 2"/>
    <w:basedOn w:val="1"/>
    <w:unhideWhenUsed/>
    <w:qFormat/>
    <w:uiPriority w:val="99"/>
    <w:pPr>
      <w:ind w:left="720" w:hanging="360"/>
      <w:contextualSpacing/>
    </w:pPr>
  </w:style>
  <w:style w:type="paragraph" w:styleId="25">
    <w:name w:val="List 3"/>
    <w:basedOn w:val="1"/>
    <w:unhideWhenUsed/>
    <w:qFormat/>
    <w:uiPriority w:val="99"/>
    <w:pPr>
      <w:ind w:left="1080" w:hanging="360"/>
      <w:contextualSpacing/>
    </w:pPr>
  </w:style>
  <w:style w:type="paragraph" w:styleId="26">
    <w:name w:val="List Bullet"/>
    <w:basedOn w:val="1"/>
    <w:unhideWhenUsed/>
    <w:qFormat/>
    <w:uiPriority w:val="99"/>
    <w:pPr>
      <w:numPr>
        <w:ilvl w:val="0"/>
        <w:numId w:val="1"/>
      </w:numPr>
      <w:contextualSpacing/>
    </w:pPr>
  </w:style>
  <w:style w:type="paragraph" w:styleId="27">
    <w:name w:val="List Bullet 2"/>
    <w:basedOn w:val="1"/>
    <w:unhideWhenUsed/>
    <w:qFormat/>
    <w:uiPriority w:val="99"/>
    <w:pPr>
      <w:numPr>
        <w:ilvl w:val="0"/>
        <w:numId w:val="2"/>
      </w:numPr>
      <w:contextualSpacing/>
    </w:pPr>
  </w:style>
  <w:style w:type="paragraph" w:styleId="28">
    <w:name w:val="List Bullet 3"/>
    <w:basedOn w:val="1"/>
    <w:unhideWhenUsed/>
    <w:qFormat/>
    <w:uiPriority w:val="99"/>
    <w:pPr>
      <w:numPr>
        <w:ilvl w:val="0"/>
        <w:numId w:val="3"/>
      </w:numPr>
      <w:contextualSpacing/>
    </w:pPr>
  </w:style>
  <w:style w:type="paragraph" w:styleId="29">
    <w:name w:val="List Continue"/>
    <w:basedOn w:val="1"/>
    <w:unhideWhenUsed/>
    <w:qFormat/>
    <w:uiPriority w:val="99"/>
    <w:pPr>
      <w:spacing w:after="120"/>
      <w:ind w:left="360"/>
      <w:contextualSpacing/>
    </w:pPr>
  </w:style>
  <w:style w:type="paragraph" w:styleId="30">
    <w:name w:val="List Continue 2"/>
    <w:basedOn w:val="1"/>
    <w:unhideWhenUsed/>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List Number"/>
    <w:basedOn w:val="1"/>
    <w:unhideWhenUsed/>
    <w:qFormat/>
    <w:uiPriority w:val="99"/>
    <w:pPr>
      <w:numPr>
        <w:ilvl w:val="0"/>
        <w:numId w:val="4"/>
      </w:numPr>
      <w:contextualSpacing/>
    </w:pPr>
  </w:style>
  <w:style w:type="paragraph" w:styleId="33">
    <w:name w:val="List Number 2"/>
    <w:basedOn w:val="1"/>
    <w:unhideWhenUsed/>
    <w:qFormat/>
    <w:uiPriority w:val="99"/>
    <w:pPr>
      <w:numPr>
        <w:ilvl w:val="0"/>
        <w:numId w:val="5"/>
      </w:numPr>
      <w:contextualSpacing/>
    </w:pPr>
  </w:style>
  <w:style w:type="paragraph" w:styleId="34">
    <w:name w:val="List Number 3"/>
    <w:basedOn w:val="1"/>
    <w:unhideWhenUsed/>
    <w:qFormat/>
    <w:uiPriority w:val="99"/>
    <w:pPr>
      <w:numPr>
        <w:ilvl w:val="0"/>
        <w:numId w:val="6"/>
      </w:numPr>
      <w:contextualSpacing/>
    </w:pPr>
  </w:style>
  <w:style w:type="paragraph" w:styleId="35">
    <w:name w:val="macro"/>
    <w:link w:val="15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36">
    <w:name w:val="Normal (Web)"/>
    <w:basedOn w:val="1"/>
    <w:link w:val="168"/>
    <w:unhideWhenUsed/>
    <w:qFormat/>
    <w:uiPriority w:val="99"/>
    <w:pPr>
      <w:spacing w:before="100" w:beforeAutospacing="1" w:after="100" w:afterAutospacing="1" w:line="240" w:lineRule="auto"/>
    </w:pPr>
    <w:rPr>
      <w:rFonts w:eastAsia="Times New Roman" w:cs="Times New Roman"/>
      <w:sz w:val="24"/>
      <w:szCs w:val="24"/>
    </w:rPr>
  </w:style>
  <w:style w:type="character" w:styleId="37">
    <w:name w:val="Strong"/>
    <w:basedOn w:val="11"/>
    <w:qFormat/>
    <w:uiPriority w:val="22"/>
    <w:rPr>
      <w:b/>
      <w:bCs/>
    </w:rPr>
  </w:style>
  <w:style w:type="paragraph" w:styleId="38">
    <w:name w:val="Subtitle"/>
    <w:basedOn w:val="1"/>
    <w:next w:val="1"/>
    <w:link w:val="146"/>
    <w:qFormat/>
    <w:uiPriority w:val="11"/>
    <w:rPr>
      <w:rFonts w:asciiTheme="majorHAnsi" w:hAnsiTheme="majorHAnsi" w:eastAsiaTheme="majorEastAsia" w:cstheme="majorBidi"/>
      <w:i/>
      <w:iCs/>
      <w:color w:val="5B9BD5" w:themeColor="accent1"/>
      <w:spacing w:val="15"/>
      <w:sz w:val="24"/>
      <w:szCs w:val="24"/>
      <w14:textFill>
        <w14:solidFill>
          <w14:schemeClr w14:val="accent1"/>
        </w14:solidFill>
      </w14:textFill>
    </w:rPr>
  </w:style>
  <w:style w:type="table" w:styleId="39">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40">
    <w:name w:val="Title"/>
    <w:basedOn w:val="1"/>
    <w:next w:val="1"/>
    <w:link w:val="145"/>
    <w:qFormat/>
    <w:uiPriority w:val="10"/>
    <w:pPr>
      <w:pBdr>
        <w:bottom w:val="single" w:color="5B9BD5" w:themeColor="accent1" w:sz="8" w:space="4"/>
      </w:pBdr>
      <w:spacing w:after="300" w:line="240" w:lineRule="auto"/>
      <w:contextualSpacing/>
    </w:pPr>
    <w:rPr>
      <w:rFonts w:asciiTheme="majorHAnsi" w:hAnsiTheme="majorHAnsi" w:eastAsiaTheme="majorEastAsia" w:cstheme="majorBidi"/>
      <w:b/>
      <w:spacing w:val="5"/>
      <w:kern w:val="28"/>
      <w:sz w:val="28"/>
      <w:szCs w:val="52"/>
    </w:rPr>
  </w:style>
  <w:style w:type="table" w:styleId="41">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2">
    <w:name w:val="Light Shading Accent 1"/>
    <w:basedOn w:val="12"/>
    <w:uiPriority w:val="60"/>
    <w:pPr>
      <w:spacing w:after="0" w:line="240" w:lineRule="auto"/>
    </w:pPr>
    <w:rPr>
      <w:color w:val="2E75B6" w:themeColor="accent1" w:themeShade="BF"/>
    </w:rPr>
    <w:tblPr>
      <w:tblBorders>
        <w:top w:val="single" w:color="5B9BD5" w:themeColor="accent1" w:sz="8" w:space="0"/>
        <w:bottom w:val="single" w:color="5B9BD5" w:themeColor="accent1" w:sz="8" w:space="0"/>
      </w:tblBorders>
    </w:tblPr>
    <w:tblStylePr w:type="firstRow">
      <w:pPr>
        <w:spacing w:before="0" w:after="0" w:line="240" w:lineRule="auto"/>
      </w:pPr>
      <w:rPr>
        <w:b/>
        <w:bCs/>
      </w:rPr>
      <w:tblPr/>
      <w:tcPr>
        <w:tcBorders>
          <w:top w:val="single" w:color="5B9BD5" w:themeColor="accent1" w:sz="8" w:space="0"/>
          <w:left w:val="nil"/>
          <w:bottom w:val="single" w:color="5B9BD5" w:themeColor="accent1" w:sz="8" w:space="0"/>
          <w:right w:val="nil"/>
          <w:insideH w:val="nil"/>
          <w:insideV w:val="nil"/>
        </w:tcBorders>
      </w:tcPr>
    </w:tblStylePr>
    <w:tblStylePr w:type="lastRow">
      <w:pPr>
        <w:spacing w:before="0" w:after="0" w:line="240" w:lineRule="auto"/>
      </w:pPr>
      <w:rPr>
        <w:b/>
        <w:bCs/>
      </w:rPr>
      <w:tblPr/>
      <w:tcPr>
        <w:tcBorders>
          <w:top w:val="single" w:color="5B9BD5" w:themeColor="accent1" w:sz="8" w:space="0"/>
          <w:left w:val="nil"/>
          <w:bottom w:val="single" w:color="5B9BD5"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43">
    <w:name w:val="Light Shading Accent 2"/>
    <w:basedOn w:val="12"/>
    <w:uiPriority w:val="60"/>
    <w:pPr>
      <w:spacing w:after="0" w:line="240" w:lineRule="auto"/>
    </w:pPr>
    <w:rPr>
      <w:color w:val="C55A11" w:themeColor="accent2" w:themeShade="BF"/>
    </w:rPr>
    <w:tblPr>
      <w:tblBorders>
        <w:top w:val="single" w:color="ED7D31" w:themeColor="accent2" w:sz="8" w:space="0"/>
        <w:bottom w:val="single" w:color="ED7D31" w:themeColor="accent2" w:sz="8" w:space="0"/>
      </w:tblBorders>
    </w:tblPr>
    <w:tblStylePr w:type="fir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44">
    <w:name w:val="Light Shading Accent 3"/>
    <w:basedOn w:val="12"/>
    <w:uiPriority w:val="60"/>
    <w:pPr>
      <w:spacing w:after="0" w:line="240" w:lineRule="auto"/>
    </w:pPr>
    <w:rPr>
      <w:color w:val="7C7C7C" w:themeColor="accent3" w:themeShade="BF"/>
    </w:rPr>
    <w:tblPr>
      <w:tblBorders>
        <w:top w:val="single" w:color="A5A5A5" w:themeColor="accent3" w:sz="8" w:space="0"/>
        <w:bottom w:val="single" w:color="A5A5A5" w:themeColor="accent3" w:sz="8" w:space="0"/>
      </w:tblBorders>
    </w:tblPr>
    <w:tblStylePr w:type="fir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5">
    <w:name w:val="Light Shading Accent 4"/>
    <w:basedOn w:val="12"/>
    <w:uiPriority w:val="60"/>
    <w:pPr>
      <w:spacing w:after="0" w:line="240" w:lineRule="auto"/>
    </w:pPr>
    <w:rPr>
      <w:color w:val="BF9000" w:themeColor="accent4" w:themeShade="BF"/>
    </w:rPr>
    <w:tblPr>
      <w:tblBorders>
        <w:top w:val="single" w:color="FFC000" w:themeColor="accent4" w:sz="8" w:space="0"/>
        <w:bottom w:val="single" w:color="FFC000" w:themeColor="accent4" w:sz="8" w:space="0"/>
      </w:tblBorders>
    </w:tblPr>
    <w:tblStylePr w:type="firstRow">
      <w:pPr>
        <w:spacing w:before="0" w:after="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46">
    <w:name w:val="Light Shading Accent 5"/>
    <w:basedOn w:val="12"/>
    <w:uiPriority w:val="60"/>
    <w:pPr>
      <w:spacing w:after="0" w:line="240" w:lineRule="auto"/>
    </w:pPr>
    <w:rPr>
      <w:color w:val="2F5597" w:themeColor="accent5" w:themeShade="BF"/>
    </w:rPr>
    <w:tblPr>
      <w:tblBorders>
        <w:top w:val="single" w:color="4472C4" w:themeColor="accent5" w:sz="8" w:space="0"/>
        <w:bottom w:val="single" w:color="4472C4" w:themeColor="accent5" w:sz="8" w:space="0"/>
      </w:tblBorders>
    </w:tblPr>
    <w:tblStylePr w:type="firstRow">
      <w:pPr>
        <w:spacing w:before="0" w:after="0" w:line="240" w:lineRule="auto"/>
      </w:pPr>
      <w:rPr>
        <w:b/>
        <w:bCs/>
      </w:rPr>
      <w:tblPr/>
      <w:tcPr>
        <w:tcBorders>
          <w:top w:val="single" w:color="4472C4" w:themeColor="accent5" w:sz="8" w:space="0"/>
          <w:left w:val="nil"/>
          <w:bottom w:val="single" w:color="4472C4" w:themeColor="accent5" w:sz="8" w:space="0"/>
          <w:right w:val="nil"/>
          <w:insideH w:val="nil"/>
          <w:insideV w:val="nil"/>
        </w:tcBorders>
      </w:tcPr>
    </w:tblStylePr>
    <w:tblStylePr w:type="lastRow">
      <w:pPr>
        <w:spacing w:before="0" w:after="0" w:line="240" w:lineRule="auto"/>
      </w:pPr>
      <w:rPr>
        <w:b/>
        <w:bCs/>
      </w:rPr>
      <w:tblPr/>
      <w:tcPr>
        <w:tcBorders>
          <w:top w:val="single" w:color="4472C4" w:themeColor="accent5" w:sz="8" w:space="0"/>
          <w:left w:val="nil"/>
          <w:bottom w:val="single" w:color="4472C4"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CF0" w:themeFill="accent5" w:themeFillTint="3F"/>
      </w:tcPr>
    </w:tblStylePr>
    <w:tblStylePr w:type="band1Horz">
      <w:tblPr/>
      <w:tcPr>
        <w:tcBorders>
          <w:left w:val="nil"/>
          <w:right w:val="nil"/>
          <w:insideH w:val="nil"/>
          <w:insideV w:val="nil"/>
        </w:tcBorders>
        <w:shd w:val="clear" w:color="auto" w:fill="D0DCF0" w:themeFill="accent5" w:themeFillTint="3F"/>
      </w:tcPr>
    </w:tblStylePr>
  </w:style>
  <w:style w:type="table" w:styleId="47">
    <w:name w:val="Light Shading Accent 6"/>
    <w:basedOn w:val="12"/>
    <w:uiPriority w:val="60"/>
    <w:pPr>
      <w:spacing w:after="0" w:line="240" w:lineRule="auto"/>
    </w:pPr>
    <w:rPr>
      <w:color w:val="548235" w:themeColor="accent6" w:themeShade="BF"/>
    </w:rPr>
    <w:tblPr>
      <w:tblBorders>
        <w:top w:val="single" w:color="70AD47" w:themeColor="accent6" w:sz="8" w:space="0"/>
        <w:bottom w:val="single" w:color="70AD47" w:themeColor="accent6" w:sz="8" w:space="0"/>
      </w:tblBorders>
    </w:tblPr>
    <w:tblStylePr w:type="fir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8">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9">
    <w:name w:val="Light List Accent 1"/>
    <w:basedOn w:val="12"/>
    <w:uiPriority w:val="61"/>
    <w:pPr>
      <w:spacing w:after="0" w:line="240" w:lineRule="auto"/>
    </w:p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table" w:styleId="50">
    <w:name w:val="Light List Accent 2"/>
    <w:basedOn w:val="12"/>
    <w:qFormat/>
    <w:uiPriority w:val="61"/>
    <w:pPr>
      <w:spacing w:after="0" w:line="240" w:lineRule="auto"/>
    </w:p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24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51">
    <w:name w:val="Light List Accent 3"/>
    <w:basedOn w:val="12"/>
    <w:uiPriority w:val="61"/>
    <w:pPr>
      <w:spacing w:after="0" w:line="240" w:lineRule="auto"/>
    </w:p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52">
    <w:name w:val="Light List Accent 4"/>
    <w:basedOn w:val="12"/>
    <w:qFormat/>
    <w:uiPriority w:val="61"/>
    <w:pPr>
      <w:spacing w:after="0" w:line="240" w:lineRule="auto"/>
    </w:p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24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53">
    <w:name w:val="Light List Accent 5"/>
    <w:basedOn w:val="12"/>
    <w:uiPriority w:val="61"/>
    <w:pPr>
      <w:spacing w:after="0" w:line="240" w:lineRule="auto"/>
    </w:pPr>
    <w:tblPr>
      <w:tblBorders>
        <w:top w:val="single" w:color="4472C4" w:themeColor="accent5" w:sz="8" w:space="0"/>
        <w:left w:val="single" w:color="4472C4" w:themeColor="accent5" w:sz="8" w:space="0"/>
        <w:bottom w:val="single" w:color="4472C4" w:themeColor="accent5" w:sz="8" w:space="0"/>
        <w:right w:val="single" w:color="4472C4"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472C4" w:themeFill="accent5"/>
      </w:tcPr>
    </w:tblStylePr>
    <w:tblStylePr w:type="lastRow">
      <w:pPr>
        <w:spacing w:before="0" w:after="0" w:line="240" w:lineRule="auto"/>
      </w:pPr>
      <w:rPr>
        <w:b/>
        <w:bCs/>
      </w:rPr>
      <w:tblPr/>
      <w:tcPr>
        <w:tcBorders>
          <w:top w:val="double" w:color="4472C4" w:themeColor="accent5" w:sz="6" w:space="0"/>
          <w:left w:val="single" w:color="4472C4" w:themeColor="accent5" w:sz="8" w:space="0"/>
          <w:bottom w:val="single" w:color="4472C4" w:themeColor="accent5" w:sz="8" w:space="0"/>
          <w:right w:val="single" w:color="4472C4" w:themeColor="accent5" w:sz="8" w:space="0"/>
        </w:tcBorders>
      </w:tcPr>
    </w:tblStylePr>
    <w:tblStylePr w:type="firstCol">
      <w:rPr>
        <w:b/>
        <w:bCs/>
      </w:rPr>
    </w:tblStylePr>
    <w:tblStylePr w:type="lastCol">
      <w:rPr>
        <w:b/>
        <w:bCs/>
      </w:rPr>
    </w:tblStylePr>
    <w:tblStylePr w:type="band1Vert">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tcPr>
    </w:tblStylePr>
    <w:tblStylePr w:type="band1Horz">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tcPr>
    </w:tblStylePr>
  </w:style>
  <w:style w:type="table" w:styleId="54">
    <w:name w:val="Light List Accent 6"/>
    <w:basedOn w:val="12"/>
    <w:uiPriority w:val="61"/>
    <w:pPr>
      <w:spacing w:after="0" w:line="240" w:lineRule="auto"/>
    </w:p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24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55">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6">
    <w:name w:val="Light Grid Accent 1"/>
    <w:basedOn w:val="12"/>
    <w:qFormat/>
    <w:uiPriority w:val="62"/>
    <w:pPr>
      <w:spacing w:after="0" w:line="240" w:lineRule="auto"/>
    </w:pPr>
    <w:tblPr>
      <w:tblBorders>
        <w:top w:val="single" w:color="5B9BD5" w:themeColor="accent1" w:sz="8" w:space="0"/>
        <w:left w:val="single" w:color="5B9BD5" w:themeColor="accent1" w:sz="8" w:space="0"/>
        <w:bottom w:val="single" w:color="5B9BD5" w:themeColor="accent1" w:sz="8" w:space="0"/>
        <w:right w:val="single" w:color="5B9BD5" w:themeColor="accent1" w:sz="8" w:space="0"/>
        <w:insideH w:val="single" w:color="5B9BD5" w:themeColor="accent1" w:sz="8" w:space="0"/>
        <w:insideV w:val="single" w:color="5B9BD5"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5B9BD5" w:themeColor="accent1" w:sz="8" w:space="0"/>
          <w:left w:val="single" w:color="5B9BD5" w:themeColor="accent1" w:sz="8" w:space="0"/>
          <w:bottom w:val="single" w:color="5B9BD5" w:themeColor="accent1" w:sz="18" w:space="0"/>
          <w:right w:val="single" w:color="5B9BD5"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shd w:val="clear" w:color="auto" w:fill="D6E6F4" w:themeFill="accent1" w:themeFillTint="3F"/>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insideV w:val="single" w:sz="8" w:space="0"/>
        </w:tcBorders>
        <w:shd w:val="clear" w:color="auto" w:fill="D6E6F4" w:themeFill="accent1" w:themeFillTint="3F"/>
      </w:tcPr>
    </w:tblStylePr>
    <w:tblStylePr w:type="band2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insideV w:val="single" w:sz="8" w:space="0"/>
        </w:tcBorders>
      </w:tcPr>
    </w:tblStylePr>
  </w:style>
  <w:style w:type="table" w:styleId="57">
    <w:name w:val="Light Grid Accent 2"/>
    <w:basedOn w:val="12"/>
    <w:qFormat/>
    <w:uiPriority w:val="62"/>
    <w:pPr>
      <w:spacing w:after="0" w:line="240" w:lineRule="auto"/>
    </w:p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58">
    <w:name w:val="Light Grid Accent 3"/>
    <w:basedOn w:val="12"/>
    <w:qFormat/>
    <w:uiPriority w:val="62"/>
    <w:pPr>
      <w:spacing w:after="0" w:line="240" w:lineRule="auto"/>
    </w:p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59">
    <w:name w:val="Light Grid Accent 4"/>
    <w:basedOn w:val="12"/>
    <w:uiPriority w:val="62"/>
    <w:pPr>
      <w:spacing w:after="0" w:line="240" w:lineRule="auto"/>
    </w:p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60">
    <w:name w:val="Light Grid Accent 5"/>
    <w:basedOn w:val="12"/>
    <w:uiPriority w:val="62"/>
    <w:pPr>
      <w:spacing w:after="0" w:line="240" w:lineRule="auto"/>
    </w:pPr>
    <w:tblPr>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8" w:space="0"/>
        <w:insideV w:val="single" w:color="4472C4"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472C4" w:themeColor="accent5" w:sz="8" w:space="0"/>
          <w:left w:val="single" w:color="4472C4" w:themeColor="accent5" w:sz="8" w:space="0"/>
          <w:bottom w:val="single" w:color="4472C4" w:themeColor="accent5" w:sz="18" w:space="0"/>
          <w:right w:val="single" w:color="4472C4"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472C4" w:themeColor="accent5" w:sz="6" w:space="0"/>
          <w:left w:val="single" w:color="4472C4" w:themeColor="accent5" w:sz="8" w:space="0"/>
          <w:bottom w:val="single" w:color="4472C4" w:themeColor="accent5" w:sz="8" w:space="0"/>
          <w:right w:val="single" w:color="4472C4"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tcPr>
    </w:tblStylePr>
    <w:tblStylePr w:type="band1Vert">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shd w:val="clear" w:color="auto" w:fill="D0DCF0" w:themeFill="accent5" w:themeFillTint="3F"/>
      </w:tcPr>
    </w:tblStylePr>
    <w:tblStylePr w:type="band1Horz">
      <w:tblPr/>
      <w:tcPr>
        <w:tcBorders>
          <w:top w:val="single" w:color="4472C4" w:themeColor="accent5" w:sz="8" w:space="0"/>
          <w:left w:val="single" w:color="4472C4" w:themeColor="accent5" w:sz="8" w:space="0"/>
          <w:bottom w:val="single" w:color="4472C4" w:themeColor="accent5" w:sz="8" w:space="0"/>
          <w:right w:val="single" w:color="4472C4" w:themeColor="accent5" w:sz="8" w:space="0"/>
          <w:insideV w:val="single" w:sz="8" w:space="0"/>
        </w:tcBorders>
        <w:shd w:val="clear" w:color="auto" w:fill="D0DCF0" w:themeFill="accent5" w:themeFillTint="3F"/>
      </w:tcPr>
    </w:tblStylePr>
    <w:tblStylePr w:type="band2Horz">
      <w:tblPr/>
      <w:tcPr>
        <w:tcBorders>
          <w:top w:val="single" w:color="4472C4" w:themeColor="accent5" w:sz="8" w:space="0"/>
          <w:left w:val="single" w:color="4472C4" w:themeColor="accent5" w:sz="8" w:space="0"/>
          <w:bottom w:val="single" w:color="4472C4" w:themeColor="accent5" w:sz="8" w:space="0"/>
          <w:right w:val="single" w:color="4472C4" w:themeColor="accent5" w:sz="8" w:space="0"/>
          <w:insideV w:val="single" w:sz="8" w:space="0"/>
        </w:tcBorders>
      </w:tcPr>
    </w:tblStylePr>
  </w:style>
  <w:style w:type="table" w:styleId="61">
    <w:name w:val="Light Grid Accent 6"/>
    <w:basedOn w:val="12"/>
    <w:uiPriority w:val="62"/>
    <w:pPr>
      <w:spacing w:after="0" w:line="240" w:lineRule="auto"/>
    </w:p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62">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3">
    <w:name w:val="Medium Shading 1 Accent 1"/>
    <w:basedOn w:val="12"/>
    <w:uiPriority w:val="63"/>
    <w:pPr>
      <w:spacing w:after="0" w:line="240" w:lineRule="auto"/>
    </w:pPr>
    <w:tblPr>
      <w:tblBorders>
        <w:top w:val="single" w:color="84B4DF" w:themeColor="accent1" w:themeTint="BF" w:sz="8" w:space="0"/>
        <w:left w:val="single" w:color="84B4DF" w:themeColor="accent1" w:themeTint="BF" w:sz="8" w:space="0"/>
        <w:bottom w:val="single" w:color="84B4DF" w:themeColor="accent1" w:themeTint="BF" w:sz="8" w:space="0"/>
        <w:right w:val="single" w:color="84B4DF" w:themeColor="accent1" w:themeTint="BF" w:sz="8" w:space="0"/>
        <w:insideH w:val="single" w:color="84B4DF"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84B4DF" w:themeColor="accent1" w:themeTint="BF" w:sz="8" w:space="0"/>
          <w:left w:val="single" w:color="84B4DF" w:themeColor="accent1" w:themeTint="BF" w:sz="8" w:space="0"/>
          <w:bottom w:val="single" w:color="84B4DF" w:themeColor="accent1" w:themeTint="BF" w:sz="8" w:space="0"/>
          <w:right w:val="single" w:color="84B4DF" w:themeColor="accent1" w:themeTint="BF" w:sz="8" w:space="0"/>
          <w:insideH w:val="nil"/>
          <w:insideV w:val="nil"/>
        </w:tcBorders>
        <w:shd w:val="clear" w:color="auto" w:fill="5B9BD5" w:themeFill="accent1"/>
      </w:tcPr>
    </w:tblStylePr>
    <w:tblStylePr w:type="lastRow">
      <w:pPr>
        <w:spacing w:before="0" w:after="0" w:line="240" w:lineRule="auto"/>
      </w:pPr>
      <w:rPr>
        <w:b/>
        <w:bCs/>
      </w:rPr>
      <w:tblPr/>
      <w:tcPr>
        <w:tcBorders>
          <w:top w:val="double" w:color="84B4DF" w:themeColor="accent1" w:themeTint="BF" w:sz="6" w:space="0"/>
          <w:left w:val="single" w:color="84B4DF" w:themeColor="accent1" w:themeTint="BF" w:sz="8" w:space="0"/>
          <w:bottom w:val="single" w:color="84B4DF" w:themeColor="accent1" w:themeTint="BF" w:sz="8" w:space="0"/>
          <w:right w:val="single" w:color="84B4DF"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64">
    <w:name w:val="Medium Shading 1 Accent 2"/>
    <w:basedOn w:val="12"/>
    <w:uiPriority w:val="63"/>
    <w:pPr>
      <w:spacing w:after="0" w:line="240" w:lineRule="auto"/>
    </w:pPr>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24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65">
    <w:name w:val="Medium Shading 1 Accent 3"/>
    <w:basedOn w:val="12"/>
    <w:uiPriority w:val="63"/>
    <w:pPr>
      <w:spacing w:after="0" w:line="240" w:lineRule="auto"/>
    </w:pPr>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24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66">
    <w:name w:val="Medium Shading 1 Accent 4"/>
    <w:basedOn w:val="12"/>
    <w:uiPriority w:val="63"/>
    <w:pPr>
      <w:spacing w:after="0" w:line="240" w:lineRule="auto"/>
    </w:pPr>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24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67">
    <w:name w:val="Medium Shading 1 Accent 5"/>
    <w:basedOn w:val="12"/>
    <w:uiPriority w:val="63"/>
    <w:pPr>
      <w:spacing w:after="0" w:line="240" w:lineRule="auto"/>
    </w:pPr>
    <w:tblPr>
      <w:tblBorders>
        <w:top w:val="single" w:color="7295D2" w:themeColor="accent5" w:themeTint="BF" w:sz="8" w:space="0"/>
        <w:left w:val="single" w:color="7295D2" w:themeColor="accent5" w:themeTint="BF" w:sz="8" w:space="0"/>
        <w:bottom w:val="single" w:color="7295D2" w:themeColor="accent5" w:themeTint="BF" w:sz="8" w:space="0"/>
        <w:right w:val="single" w:color="7295D2" w:themeColor="accent5" w:themeTint="BF" w:sz="8" w:space="0"/>
        <w:insideH w:val="single" w:color="7295D2"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295D2" w:themeColor="accent5" w:themeTint="BF" w:sz="8" w:space="0"/>
          <w:left w:val="single" w:color="7295D2" w:themeColor="accent5" w:themeTint="BF" w:sz="8" w:space="0"/>
          <w:bottom w:val="single" w:color="7295D2" w:themeColor="accent5" w:themeTint="BF" w:sz="8" w:space="0"/>
          <w:right w:val="single" w:color="7295D2" w:themeColor="accent5" w:themeTint="BF" w:sz="8" w:space="0"/>
          <w:insideH w:val="nil"/>
          <w:insideV w:val="nil"/>
        </w:tcBorders>
        <w:shd w:val="clear" w:color="auto" w:fill="4472C4" w:themeFill="accent5"/>
      </w:tcPr>
    </w:tblStylePr>
    <w:tblStylePr w:type="lastRow">
      <w:pPr>
        <w:spacing w:before="0" w:after="0" w:line="240" w:lineRule="auto"/>
      </w:pPr>
      <w:rPr>
        <w:b/>
        <w:bCs/>
      </w:rPr>
      <w:tblPr/>
      <w:tcPr>
        <w:tcBorders>
          <w:top w:val="double" w:color="7295D2" w:themeColor="accent5" w:themeTint="BF" w:sz="6" w:space="0"/>
          <w:left w:val="single" w:color="7295D2" w:themeColor="accent5" w:themeTint="BF" w:sz="8" w:space="0"/>
          <w:bottom w:val="single" w:color="7295D2" w:themeColor="accent5" w:themeTint="BF" w:sz="8" w:space="0"/>
          <w:right w:val="single" w:color="7295D2"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0DCF0" w:themeFill="accent5" w:themeFillTint="3F"/>
      </w:tcPr>
    </w:tblStylePr>
    <w:tblStylePr w:type="band1Horz">
      <w:tblPr/>
      <w:tcPr>
        <w:tcBorders>
          <w:insideH w:val="nil"/>
          <w:insideV w:val="nil"/>
        </w:tcBorders>
        <w:shd w:val="clear" w:color="auto" w:fill="D0DCF0" w:themeFill="accent5" w:themeFillTint="3F"/>
      </w:tcPr>
    </w:tblStylePr>
    <w:tblStylePr w:type="band2Horz">
      <w:tblPr/>
      <w:tcPr>
        <w:tcBorders>
          <w:insideH w:val="nil"/>
          <w:insideV w:val="nil"/>
        </w:tcBorders>
      </w:tcPr>
    </w:tblStylePr>
  </w:style>
  <w:style w:type="table" w:styleId="68">
    <w:name w:val="Medium Shading 1 Accent 6"/>
    <w:basedOn w:val="12"/>
    <w:uiPriority w:val="63"/>
    <w:pPr>
      <w:spacing w:after="0" w:line="240" w:lineRule="auto"/>
    </w:pPr>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24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69">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2"/>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472C4"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6">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7">
    <w:name w:val="Medium List 1 Accent 1"/>
    <w:basedOn w:val="12"/>
    <w:uiPriority w:val="65"/>
    <w:pPr>
      <w:spacing w:after="0" w:line="240" w:lineRule="auto"/>
    </w:pPr>
    <w:rPr>
      <w:color w:val="000000" w:themeColor="text1"/>
      <w14:textFill>
        <w14:solidFill>
          <w14:schemeClr w14:val="tx1"/>
        </w14:solidFill>
      </w14:textFill>
    </w:rPr>
    <w:tblPr>
      <w:tblBorders>
        <w:top w:val="single" w:color="5B9BD5" w:themeColor="accent1" w:sz="8" w:space="0"/>
        <w:bottom w:val="single" w:color="5B9BD5" w:themeColor="accent1" w:sz="8" w:space="0"/>
      </w:tblBorders>
    </w:tblPr>
    <w:tblStylePr w:type="firstRow">
      <w:rPr>
        <w:rFonts w:asciiTheme="majorHAnsi" w:hAnsiTheme="majorHAnsi" w:eastAsiaTheme="majorEastAsia" w:cstheme="majorBidi"/>
      </w:rPr>
      <w:tblPr/>
      <w:tcPr>
        <w:tcBorders>
          <w:top w:val="nil"/>
          <w:bottom w:val="single" w:color="5B9BD5" w:themeColor="accent1" w:sz="8" w:space="0"/>
        </w:tcBorders>
      </w:tcPr>
    </w:tblStylePr>
    <w:tblStylePr w:type="lastRow">
      <w:rPr>
        <w:b/>
        <w:bCs/>
        <w:color w:val="44546A" w:themeColor="text2"/>
        <w14:textFill>
          <w14:solidFill>
            <w14:schemeClr w14:val="tx2"/>
          </w14:solidFill>
        </w14:textFill>
      </w:rPr>
      <w:tblPr/>
      <w:tcPr>
        <w:tcBorders>
          <w:top w:val="single" w:color="5B9BD5" w:themeColor="accent1" w:sz="8" w:space="0"/>
          <w:bottom w:val="single" w:color="5B9BD5" w:themeColor="accent1" w:sz="8" w:space="0"/>
        </w:tcBorders>
      </w:tcPr>
    </w:tblStylePr>
    <w:tblStylePr w:type="firstCol">
      <w:rPr>
        <w:b/>
        <w:bCs/>
      </w:rPr>
    </w:tblStylePr>
    <w:tblStylePr w:type="lastCol">
      <w:rPr>
        <w:b/>
        <w:bCs/>
      </w:rPr>
      <w:tblPr/>
      <w:tcPr>
        <w:tcBorders>
          <w:top w:val="single" w:color="5B9BD5" w:themeColor="accent1" w:sz="8" w:space="0"/>
          <w:bottom w:val="single" w:color="5B9BD5" w:themeColor="accent1" w:sz="8" w:space="0"/>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78">
    <w:name w:val="Medium List 1 Accent 2"/>
    <w:basedOn w:val="12"/>
    <w:uiPriority w:val="65"/>
    <w:pPr>
      <w:spacing w:after="0" w:line="240" w:lineRule="auto"/>
    </w:pPr>
    <w:rPr>
      <w:color w:val="000000" w:themeColor="text1"/>
      <w14:textFill>
        <w14:solidFill>
          <w14:schemeClr w14:val="tx1"/>
        </w14:solidFill>
      </w14:textFill>
    </w:rPr>
    <w:tblPr>
      <w:tblBorders>
        <w:top w:val="single" w:color="ED7D31" w:themeColor="accent2" w:sz="8" w:space="0"/>
        <w:bottom w:val="single" w:color="ED7D31" w:themeColor="accent2" w:sz="8" w:space="0"/>
      </w:tblBorders>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79">
    <w:name w:val="Medium List 1 Accent 3"/>
    <w:basedOn w:val="12"/>
    <w:uiPriority w:val="65"/>
    <w:pPr>
      <w:spacing w:after="0" w:line="240" w:lineRule="auto"/>
    </w:pPr>
    <w:rPr>
      <w:color w:val="000000" w:themeColor="text1"/>
      <w14:textFill>
        <w14:solidFill>
          <w14:schemeClr w14:val="tx1"/>
        </w14:solidFill>
      </w14:textFill>
    </w:rPr>
    <w:tblPr>
      <w:tblBorders>
        <w:top w:val="single" w:color="A5A5A5" w:themeColor="accent3" w:sz="8" w:space="0"/>
        <w:bottom w:val="single" w:color="A5A5A5" w:themeColor="accent3" w:sz="8" w:space="0"/>
      </w:tblBorders>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80">
    <w:name w:val="Medium List 1 Accent 4"/>
    <w:basedOn w:val="12"/>
    <w:uiPriority w:val="65"/>
    <w:pPr>
      <w:spacing w:after="0" w:line="240" w:lineRule="auto"/>
    </w:pPr>
    <w:rPr>
      <w:color w:val="000000" w:themeColor="text1"/>
      <w14:textFill>
        <w14:solidFill>
          <w14:schemeClr w14:val="tx1"/>
        </w14:solidFill>
      </w14:textFill>
    </w:rPr>
    <w:tblPr>
      <w:tblBorders>
        <w:top w:val="single" w:color="FFC000" w:themeColor="accent4" w:sz="8" w:space="0"/>
        <w:bottom w:val="single" w:color="FFC000" w:themeColor="accent4" w:sz="8" w:space="0"/>
      </w:tblBorders>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81">
    <w:name w:val="Medium List 1 Accent 5"/>
    <w:basedOn w:val="12"/>
    <w:uiPriority w:val="65"/>
    <w:pPr>
      <w:spacing w:after="0" w:line="240" w:lineRule="auto"/>
    </w:pPr>
    <w:rPr>
      <w:color w:val="000000" w:themeColor="text1"/>
      <w14:textFill>
        <w14:solidFill>
          <w14:schemeClr w14:val="tx1"/>
        </w14:solidFill>
      </w14:textFill>
    </w:rPr>
    <w:tblPr>
      <w:tblBorders>
        <w:top w:val="single" w:color="4472C4" w:themeColor="accent5" w:sz="8" w:space="0"/>
        <w:bottom w:val="single" w:color="4472C4" w:themeColor="accent5" w:sz="8" w:space="0"/>
      </w:tblBorders>
    </w:tblPr>
    <w:tblStylePr w:type="firstRow">
      <w:rPr>
        <w:rFonts w:asciiTheme="majorHAnsi" w:hAnsiTheme="majorHAnsi" w:eastAsiaTheme="majorEastAsia" w:cstheme="majorBidi"/>
      </w:rPr>
      <w:tblPr/>
      <w:tcPr>
        <w:tcBorders>
          <w:top w:val="nil"/>
          <w:bottom w:val="single" w:color="4472C4" w:themeColor="accent5" w:sz="8" w:space="0"/>
        </w:tcBorders>
      </w:tcPr>
    </w:tblStylePr>
    <w:tblStylePr w:type="lastRow">
      <w:rPr>
        <w:b/>
        <w:bCs/>
        <w:color w:val="44546A" w:themeColor="text2"/>
        <w14:textFill>
          <w14:solidFill>
            <w14:schemeClr w14:val="tx2"/>
          </w14:solidFill>
        </w14:textFill>
      </w:rPr>
      <w:tblPr/>
      <w:tcPr>
        <w:tcBorders>
          <w:top w:val="single" w:color="4472C4" w:themeColor="accent5" w:sz="8" w:space="0"/>
          <w:bottom w:val="single" w:color="4472C4" w:themeColor="accent5" w:sz="8" w:space="0"/>
        </w:tcBorders>
      </w:tcPr>
    </w:tblStylePr>
    <w:tblStylePr w:type="firstCol">
      <w:rPr>
        <w:b/>
        <w:bCs/>
      </w:rPr>
    </w:tblStylePr>
    <w:tblStylePr w:type="lastCol">
      <w:rPr>
        <w:b/>
        <w:bCs/>
      </w:rPr>
      <w:tblPr/>
      <w:tcPr>
        <w:tcBorders>
          <w:top w:val="single" w:color="4472C4" w:themeColor="accent5" w:sz="8" w:space="0"/>
          <w:bottom w:val="single" w:color="4472C4" w:themeColor="accent5" w:sz="8" w:space="0"/>
        </w:tcBorders>
      </w:tcPr>
    </w:tblStylePr>
    <w:tblStylePr w:type="band1Vert">
      <w:tblPr/>
      <w:tcPr>
        <w:shd w:val="clear" w:color="auto" w:fill="D0DCF0" w:themeFill="accent5" w:themeFillTint="3F"/>
      </w:tcPr>
    </w:tblStylePr>
    <w:tblStylePr w:type="band1Horz">
      <w:tblPr/>
      <w:tcPr>
        <w:shd w:val="clear" w:color="auto" w:fill="D0DCF0" w:themeFill="accent5" w:themeFillTint="3F"/>
      </w:tcPr>
    </w:tblStylePr>
  </w:style>
  <w:style w:type="table" w:styleId="82">
    <w:name w:val="Medium List 1 Accent 6"/>
    <w:basedOn w:val="12"/>
    <w:uiPriority w:val="65"/>
    <w:pPr>
      <w:spacing w:after="0" w:line="240" w:lineRule="auto"/>
    </w:pPr>
    <w:rPr>
      <w:color w:val="000000" w:themeColor="text1"/>
      <w14:textFill>
        <w14:solidFill>
          <w14:schemeClr w14:val="tx1"/>
        </w14:solidFill>
      </w14:textFill>
    </w:rPr>
    <w:tblPr>
      <w:tblBorders>
        <w:top w:val="single" w:color="70AD47" w:themeColor="accent6" w:sz="8" w:space="0"/>
        <w:bottom w:val="single" w:color="70AD47" w:themeColor="accent6" w:sz="8" w:space="0"/>
      </w:tblBorders>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83">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rPr>
        <w:sz w:val="24"/>
        <w:szCs w:val="24"/>
      </w:rPr>
      <w:tblPr/>
      <w:tcPr>
        <w:tcBorders>
          <w:top w:val="nil"/>
          <w:left w:val="nil"/>
          <w:bottom w:val="single" w:color="5B9BD5" w:themeColor="accent1" w:sz="24" w:space="0"/>
          <w:right w:val="nil"/>
          <w:insideH w:val="nil"/>
          <w:insideV w:val="nil"/>
        </w:tcBorders>
        <w:shd w:val="clear" w:color="auto" w:fill="FFFFFF" w:themeFill="background1"/>
      </w:tcPr>
    </w:tblStylePr>
    <w:tblStylePr w:type="lastRow">
      <w:tblPr/>
      <w:tcPr>
        <w:tcBorders>
          <w:top w:val="single" w:color="5B9BD5"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1" w:sz="8" w:space="0"/>
          <w:insideH w:val="nil"/>
          <w:insideV w:val="nil"/>
        </w:tcBorders>
        <w:shd w:val="clear" w:color="auto" w:fill="FFFFFF" w:themeFill="background1"/>
      </w:tcPr>
    </w:tblStylePr>
    <w:tblStylePr w:type="lastCol">
      <w:tblPr/>
      <w:tcPr>
        <w:tcBorders>
          <w:top w:val="nil"/>
          <w:left w:val="single" w:color="5B9BD5"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5" w:sz="8" w:space="0"/>
        <w:left w:val="single" w:color="4472C4" w:themeColor="accent5" w:sz="8" w:space="0"/>
        <w:bottom w:val="single" w:color="4472C4" w:themeColor="accent5" w:sz="8" w:space="0"/>
        <w:right w:val="single" w:color="4472C4" w:themeColor="accent5" w:sz="8" w:space="0"/>
      </w:tblBorders>
    </w:tblPr>
    <w:tblStylePr w:type="firstRow">
      <w:rPr>
        <w:sz w:val="24"/>
        <w:szCs w:val="24"/>
      </w:rPr>
      <w:tblPr/>
      <w:tcPr>
        <w:tcBorders>
          <w:top w:val="nil"/>
          <w:left w:val="nil"/>
          <w:bottom w:val="single" w:color="4472C4" w:themeColor="accent5" w:sz="24" w:space="0"/>
          <w:right w:val="nil"/>
          <w:insideH w:val="nil"/>
          <w:insideV w:val="nil"/>
        </w:tcBorders>
        <w:shd w:val="clear" w:color="auto" w:fill="FFFFFF" w:themeFill="background1"/>
      </w:tcPr>
    </w:tblStylePr>
    <w:tblStylePr w:type="lastRow">
      <w:tblPr/>
      <w:tcPr>
        <w:tcBorders>
          <w:top w:val="single" w:color="4472C4"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5" w:sz="8" w:space="0"/>
          <w:insideH w:val="nil"/>
          <w:insideV w:val="nil"/>
        </w:tcBorders>
        <w:shd w:val="clear" w:color="auto" w:fill="FFFFFF" w:themeFill="background1"/>
      </w:tcPr>
    </w:tblStylePr>
    <w:tblStylePr w:type="lastCol">
      <w:tblPr/>
      <w:tcPr>
        <w:tcBorders>
          <w:top w:val="nil"/>
          <w:left w:val="single" w:color="4472C4"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5" w:themeFillTint="3F"/>
      </w:tcPr>
    </w:tblStylePr>
    <w:tblStylePr w:type="band1Horz">
      <w:tblPr/>
      <w:tcPr>
        <w:tcBorders>
          <w:top w:val="nil"/>
          <w:bottom w:val="nil"/>
          <w:insideH w:val="nil"/>
          <w:insideV w:val="nil"/>
        </w:tcBorders>
        <w:shd w:val="clear" w:color="auto" w:fill="D0DC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90">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1">
    <w:name w:val="Medium Grid 1 Accent 1"/>
    <w:basedOn w:val="12"/>
    <w:uiPriority w:val="67"/>
    <w:pPr>
      <w:spacing w:after="0" w:line="240" w:lineRule="auto"/>
    </w:pPr>
    <w:tblPr>
      <w:tblBorders>
        <w:top w:val="single" w:color="84B4DF" w:themeColor="accent1" w:themeTint="BF" w:sz="8" w:space="0"/>
        <w:left w:val="single" w:color="84B4DF" w:themeColor="accent1" w:themeTint="BF" w:sz="8" w:space="0"/>
        <w:bottom w:val="single" w:color="84B4DF" w:themeColor="accent1" w:themeTint="BF" w:sz="8" w:space="0"/>
        <w:right w:val="single" w:color="84B4DF" w:themeColor="accent1" w:themeTint="BF" w:sz="8" w:space="0"/>
        <w:insideH w:val="single" w:color="84B4DF" w:themeColor="accent1" w:themeTint="BF" w:sz="8" w:space="0"/>
        <w:insideV w:val="single" w:color="84B4DF" w:themeColor="accent1" w:themeTint="BF" w:sz="8" w:space="0"/>
      </w:tblBorders>
    </w:tblPr>
    <w:tcPr>
      <w:shd w:val="clear" w:color="auto" w:fill="D6E6F4" w:themeFill="accent1" w:themeFillTint="3F"/>
    </w:tcPr>
    <w:tblStylePr w:type="firstRow">
      <w:rPr>
        <w:b/>
        <w:bCs/>
      </w:rPr>
    </w:tblStylePr>
    <w:tblStylePr w:type="lastRow">
      <w:rPr>
        <w:b/>
        <w:bCs/>
      </w:rPr>
      <w:tblPr/>
      <w:tcPr>
        <w:tcBorders>
          <w:top w:val="single" w:color="84B4DF" w:themeColor="accent1" w:themeTint="BF" w:sz="18" w:space="0"/>
        </w:tcBorders>
      </w:tcPr>
    </w:tblStylePr>
    <w:tblStylePr w:type="firstCol">
      <w:rPr>
        <w:b/>
        <w:bCs/>
      </w:rPr>
    </w:tblStylePr>
    <w:tblStylePr w:type="lastCol">
      <w:rPr>
        <w:b/>
        <w:bCs/>
      </w:rPr>
    </w:tblStylePr>
    <w:tblStylePr w:type="band1Vert">
      <w:tblPr/>
      <w:tcPr>
        <w:shd w:val="clear" w:color="auto" w:fill="ADCDEA" w:themeFill="accent1" w:themeFillTint="7F"/>
      </w:tcPr>
    </w:tblStylePr>
    <w:tblStylePr w:type="band1Horz">
      <w:tblPr/>
      <w:tcPr>
        <w:shd w:val="clear" w:color="auto" w:fill="ADCDEA" w:themeFill="accent1" w:themeFillTint="7F"/>
      </w:tcPr>
    </w:tblStylePr>
  </w:style>
  <w:style w:type="table" w:styleId="92">
    <w:name w:val="Medium Grid 1 Accent 2"/>
    <w:basedOn w:val="12"/>
    <w:uiPriority w:val="67"/>
    <w:pPr>
      <w:spacing w:after="0" w:line="240" w:lineRule="auto"/>
    </w:pPr>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93">
    <w:name w:val="Medium Grid 1 Accent 3"/>
    <w:basedOn w:val="12"/>
    <w:uiPriority w:val="67"/>
    <w:pPr>
      <w:spacing w:after="0" w:line="240" w:lineRule="auto"/>
    </w:pPr>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94">
    <w:name w:val="Medium Grid 1 Accent 4"/>
    <w:basedOn w:val="12"/>
    <w:qFormat/>
    <w:uiPriority w:val="67"/>
    <w:pPr>
      <w:spacing w:after="0" w:line="240" w:lineRule="auto"/>
    </w:pPr>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95">
    <w:name w:val="Medium Grid 1 Accent 5"/>
    <w:basedOn w:val="12"/>
    <w:uiPriority w:val="67"/>
    <w:pPr>
      <w:spacing w:after="0" w:line="240" w:lineRule="auto"/>
    </w:pPr>
    <w:tblPr>
      <w:tblBorders>
        <w:top w:val="single" w:color="7295D2" w:themeColor="accent5" w:themeTint="BF" w:sz="8" w:space="0"/>
        <w:left w:val="single" w:color="7295D2" w:themeColor="accent5" w:themeTint="BF" w:sz="8" w:space="0"/>
        <w:bottom w:val="single" w:color="7295D2" w:themeColor="accent5" w:themeTint="BF" w:sz="8" w:space="0"/>
        <w:right w:val="single" w:color="7295D2" w:themeColor="accent5" w:themeTint="BF" w:sz="8" w:space="0"/>
        <w:insideH w:val="single" w:color="7295D2" w:themeColor="accent5" w:themeTint="BF" w:sz="8" w:space="0"/>
        <w:insideV w:val="single" w:color="7295D2" w:themeColor="accent5" w:themeTint="BF" w:sz="8" w:space="0"/>
      </w:tblBorders>
    </w:tblPr>
    <w:tcPr>
      <w:shd w:val="clear" w:color="auto" w:fill="D0DCF0" w:themeFill="accent5" w:themeFillTint="3F"/>
    </w:tcPr>
    <w:tblStylePr w:type="firstRow">
      <w:rPr>
        <w:b/>
        <w:bCs/>
      </w:rPr>
    </w:tblStylePr>
    <w:tblStylePr w:type="lastRow">
      <w:rPr>
        <w:b/>
        <w:bCs/>
      </w:rPr>
      <w:tblPr/>
      <w:tcPr>
        <w:tcBorders>
          <w:top w:val="single" w:color="7295D2" w:themeColor="accent5" w:themeTint="BF" w:sz="18" w:space="0"/>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96">
    <w:name w:val="Medium Grid 1 Accent 6"/>
    <w:basedOn w:val="12"/>
    <w:uiPriority w:val="67"/>
    <w:pPr>
      <w:spacing w:after="0" w:line="240" w:lineRule="auto"/>
    </w:pPr>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97">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8">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1" w:sz="8" w:space="0"/>
        <w:left w:val="single" w:color="5B9BD5" w:themeColor="accent1" w:sz="8" w:space="0"/>
        <w:bottom w:val="single" w:color="5B9BD5" w:themeColor="accent1" w:sz="8" w:space="0"/>
        <w:right w:val="single" w:color="5B9BD5" w:themeColor="accent1" w:sz="8" w:space="0"/>
        <w:insideH w:val="single" w:color="5B9BD5" w:themeColor="accent1" w:sz="8" w:space="0"/>
        <w:insideV w:val="single" w:color="5B9BD5" w:themeColor="accent1" w:sz="8" w:space="0"/>
      </w:tblBorders>
    </w:tblPr>
    <w:tcPr>
      <w:shd w:val="clear" w:color="auto" w:fill="D6E6F4" w:themeFill="accent1" w:themeFillTint="3F"/>
    </w:tcPr>
    <w:tblStylePr w:type="firstRow">
      <w:rPr>
        <w:b/>
        <w:bCs/>
        <w:color w:val="000000" w:themeColor="text1"/>
        <w14:textFill>
          <w14:solidFill>
            <w14:schemeClr w14:val="tx1"/>
          </w14:solidFill>
        </w14:textFill>
      </w:rPr>
      <w:tblPr/>
      <w:tcPr>
        <w:shd w:val="clear" w:color="auto" w:fill="EEF5FA"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DEA" w:themeFill="accent1" w:themeFillTint="7F"/>
      </w:tcPr>
    </w:tblStylePr>
    <w:tblStylePr w:type="band1Horz">
      <w:tblPr/>
      <w:tcPr>
        <w:tcBorders>
          <w:insideH w:val="single" w:sz="6" w:space="0"/>
          <w:insideV w:val="single" w:sz="6" w:space="0"/>
        </w:tcBorders>
        <w:shd w:val="clear" w:color="auto" w:fill="ADCDEA" w:themeFill="accent1" w:themeFillTint="7F"/>
      </w:tcPr>
    </w:tblStylePr>
    <w:tblStylePr w:type="nwCell">
      <w:tblPr/>
      <w:tcPr>
        <w:shd w:val="clear" w:color="auto" w:fill="FFFFFF" w:themeFill="background1"/>
      </w:tcPr>
    </w:tblStylePr>
  </w:style>
  <w:style w:type="table" w:styleId="99">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00">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01">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02">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8" w:space="0"/>
        <w:insideV w:val="single" w:color="4472C4" w:themeColor="accent5" w:sz="8" w:space="0"/>
      </w:tblBorders>
    </w:tblPr>
    <w:tcPr>
      <w:shd w:val="clear" w:color="auto" w:fill="D0DCF0" w:themeFill="accent5" w:themeFillTint="3F"/>
    </w:tcPr>
    <w:tblStylePr w:type="firstRow">
      <w:rPr>
        <w:b/>
        <w:bCs/>
        <w:color w:val="000000" w:themeColor="text1"/>
        <w14:textFill>
          <w14:solidFill>
            <w14:schemeClr w14:val="tx1"/>
          </w14:solidFill>
        </w14:textFill>
      </w:rPr>
      <w:tblPr/>
      <w:tcPr>
        <w:shd w:val="clear" w:color="auto" w:fill="ECF1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insideV w:val="single" w:sz="6" w:space="0"/>
        </w:tcBorders>
        <w:shd w:val="clear" w:color="auto" w:fill="A1B8E1" w:themeFill="accent5" w:themeFillTint="7F"/>
      </w:tcPr>
    </w:tblStylePr>
    <w:tblStylePr w:type="nwCell">
      <w:tblPr/>
      <w:tcPr>
        <w:shd w:val="clear" w:color="auto" w:fill="FFFFFF" w:themeFill="background1"/>
      </w:tcPr>
    </w:tblStylePr>
  </w:style>
  <w:style w:type="table" w:styleId="103">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04">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5">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6E6F4"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1" w:themeFillTint="7F"/>
      </w:tcPr>
    </w:tblStylePr>
  </w:style>
  <w:style w:type="table" w:styleId="106">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07">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08">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09">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0DC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5" w:themeFillTint="7F"/>
      </w:tcPr>
    </w:tblStylePr>
  </w:style>
  <w:style w:type="table" w:styleId="110">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11">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2">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5B9BD5"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1" w:themeFillShade="BF"/>
      </w:tcPr>
    </w:tblStylePr>
    <w:tblStylePr w:type="band1Vert">
      <w:tblPr/>
      <w:tcPr>
        <w:tcBorders>
          <w:top w:val="nil"/>
          <w:left w:val="nil"/>
          <w:bottom w:val="nil"/>
          <w:right w:val="nil"/>
          <w:insideH w:val="nil"/>
          <w:insideV w:val="nil"/>
        </w:tcBorders>
        <w:shd w:val="clear" w:color="auto" w:fill="2E75B5" w:themeFill="accent1" w:themeFillShade="BF"/>
      </w:tcPr>
    </w:tblStylePr>
    <w:tblStylePr w:type="band1Horz">
      <w:tblPr/>
      <w:tcPr>
        <w:tcBorders>
          <w:top w:val="nil"/>
          <w:left w:val="nil"/>
          <w:bottom w:val="nil"/>
          <w:right w:val="nil"/>
          <w:insideH w:val="nil"/>
          <w:insideV w:val="nil"/>
        </w:tcBorders>
        <w:shd w:val="clear" w:color="auto" w:fill="2E75B5" w:themeFill="accent1" w:themeFillShade="BF"/>
      </w:tcPr>
    </w:tblStylePr>
  </w:style>
  <w:style w:type="table" w:styleId="113">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14">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15">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16">
    <w:name w:val="Dark List Accent 5"/>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472C4"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117">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18">
    <w:name w:val="Colorful Shading"/>
    <w:basedOn w:val="12"/>
    <w:uiPriority w:val="71"/>
    <w:pPr>
      <w:spacing w:after="0" w:line="240" w:lineRule="auto"/>
    </w:pPr>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ED7D31" w:themeColor="accent2" w:sz="24" w:space="0"/>
        <w:left w:val="single" w:color="5B9BD5" w:themeColor="accent1" w:sz="4" w:space="0"/>
        <w:bottom w:val="single" w:color="5B9BD5" w:themeColor="accent1" w:sz="4" w:space="0"/>
        <w:right w:val="single" w:color="5B9BD5" w:themeColor="accent1" w:sz="4" w:space="0"/>
        <w:insideH w:val="single" w:color="FFFFFF" w:themeColor="background1" w:sz="4" w:space="0"/>
        <w:insideV w:val="single" w:color="FFFFFF" w:themeColor="background1" w:sz="4" w:space="0"/>
      </w:tblBorders>
    </w:tblPr>
    <w:tcPr>
      <w:shd w:val="clear" w:color="auto" w:fill="EEF5FA"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DEA"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22">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70AD47" w:themeColor="accent6" w:sz="24" w:space="0"/>
        <w:left w:val="single" w:color="4472C4" w:themeColor="accent5" w:sz="4" w:space="0"/>
        <w:bottom w:val="single" w:color="4472C4" w:themeColor="accent5" w:sz="4" w:space="0"/>
        <w:right w:val="single" w:color="4472C4" w:themeColor="accent5" w:sz="4" w:space="0"/>
        <w:insideH w:val="single" w:color="FFFFFF" w:themeColor="background1" w:sz="4" w:space="0"/>
        <w:insideV w:val="single" w:color="FFFFFF" w:themeColor="background1" w:sz="4" w:space="0"/>
      </w:tblBorders>
    </w:tblPr>
    <w:tcPr>
      <w:shd w:val="clear" w:color="auto" w:fill="ECF1F9"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4">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472C4"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Pr>
    <w:tcPr>
      <w:shd w:val="clear" w:color="auto" w:fill="F0F7EC" w:themeFill="accent6" w:themeFillTint="19"/>
    </w:tcPr>
    <w:tblStylePr w:type="firstRow">
      <w:rPr>
        <w:b/>
        <w:bCs/>
      </w:rPr>
      <w:tblPr/>
      <w:tcPr>
        <w:tcBorders>
          <w:top w:val="nil"/>
          <w:left w:val="nil"/>
          <w:bottom w:val="single" w:color="4472C4"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5">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6">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EF5FA"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127">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28">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129">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130">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CF1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5" w:themeFillTint="3F"/>
      </w:tcPr>
    </w:tblStylePr>
    <w:tblStylePr w:type="band1Horz">
      <w:tblPr/>
      <w:tcPr>
        <w:shd w:val="clear" w:color="auto" w:fill="D9E2F3" w:themeFill="accent5" w:themeFillTint="33"/>
      </w:tcPr>
    </w:tblStylePr>
  </w:style>
  <w:style w:type="table" w:styleId="131">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25AA0" w:themeFill="accent5" w:themeFillShade="CC"/>
      </w:tcPr>
    </w:tblStylePr>
    <w:tblStylePr w:type="lastRow">
      <w:rPr>
        <w:b/>
        <w:bCs/>
        <w:color w:val="335AA1"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132">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3">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14:textFill>
          <w14:solidFill>
            <w14:schemeClr w14:val="tx1"/>
          </w14:solidFill>
        </w14:textFill>
      </w:rPr>
      <w:tblPr/>
      <w:tcPr>
        <w:shd w:val="clear" w:color="auto" w:fill="BDD6EE" w:themeFill="accent1" w:themeFillTint="66"/>
      </w:tcPr>
    </w:tblStylePr>
    <w:tblStylePr w:type="firstCol">
      <w:rPr>
        <w:color w:val="FFFFFF" w:themeColor="background1"/>
        <w14:textFill>
          <w14:solidFill>
            <w14:schemeClr w14:val="bg1"/>
          </w14:solidFill>
        </w14:textFill>
      </w:rPr>
      <w:tblPr/>
      <w:tcPr>
        <w:shd w:val="clear" w:color="auto" w:fill="2E75B5" w:themeFill="accent1" w:themeFillShade="BF"/>
      </w:tcPr>
    </w:tblStylePr>
    <w:tblStylePr w:type="lastCol">
      <w:rPr>
        <w:color w:val="FFFFFF" w:themeColor="background1"/>
        <w14:textFill>
          <w14:solidFill>
            <w14:schemeClr w14:val="bg1"/>
          </w14:solidFill>
        </w14:textFill>
      </w:rPr>
      <w:tblPr/>
      <w:tcPr>
        <w:shd w:val="clear" w:color="auto" w:fill="2E75B5" w:themeFill="accent1" w:themeFillShade="BF"/>
      </w:tcPr>
    </w:tblStylePr>
    <w:tblStylePr w:type="band1Vert">
      <w:tblPr/>
      <w:tcPr>
        <w:shd w:val="clear" w:color="auto" w:fill="ADCDEA" w:themeFill="accent1" w:themeFillTint="7F"/>
      </w:tcPr>
    </w:tblStylePr>
    <w:tblStylePr w:type="band1Horz">
      <w:tblPr/>
      <w:tcPr>
        <w:shd w:val="clear" w:color="auto" w:fill="ADCDEA" w:themeFill="accent1" w:themeFillTint="7F"/>
      </w:tcPr>
    </w:tblStylePr>
  </w:style>
  <w:style w:type="table" w:styleId="134">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5">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36">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37">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14:textFill>
          <w14:solidFill>
            <w14:schemeClr w14:val="tx1"/>
          </w14:solidFill>
        </w14:textFill>
      </w:rPr>
      <w:tblPr/>
      <w:tcPr>
        <w:shd w:val="clear" w:color="auto" w:fill="B4C6E7" w:themeFill="accent5" w:themeFillTint="66"/>
      </w:tcPr>
    </w:tblStylePr>
    <w:tblStylePr w:type="firstCol">
      <w:rPr>
        <w:color w:val="FFFFFF" w:themeColor="background1"/>
        <w14:textFill>
          <w14:solidFill>
            <w14:schemeClr w14:val="bg1"/>
          </w14:solidFill>
        </w14:textFill>
      </w:rPr>
      <w:tblPr/>
      <w:tcPr>
        <w:shd w:val="clear" w:color="auto" w:fill="2F5496" w:themeFill="accent5" w:themeFillShade="BF"/>
      </w:tcPr>
    </w:tblStylePr>
    <w:tblStylePr w:type="lastCol">
      <w:rPr>
        <w:color w:val="FFFFFF" w:themeColor="background1"/>
        <w14:textFill>
          <w14:solidFill>
            <w14:schemeClr w14:val="bg1"/>
          </w14:solidFill>
        </w14:textFill>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38">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customStyle="1" w:styleId="139">
    <w:name w:val="Header Char"/>
    <w:basedOn w:val="11"/>
    <w:link w:val="22"/>
    <w:qFormat/>
    <w:uiPriority w:val="99"/>
  </w:style>
  <w:style w:type="character" w:customStyle="1" w:styleId="140">
    <w:name w:val="Footer Char"/>
    <w:basedOn w:val="11"/>
    <w:link w:val="18"/>
    <w:uiPriority w:val="99"/>
  </w:style>
  <w:style w:type="paragraph" w:styleId="141">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2">
    <w:name w:val="Heading 1 Char"/>
    <w:basedOn w:val="11"/>
    <w:link w:val="2"/>
    <w:uiPriority w:val="9"/>
    <w:rPr>
      <w:rFonts w:asciiTheme="majorHAnsi" w:hAnsiTheme="majorHAnsi" w:eastAsiaTheme="majorEastAsia" w:cstheme="majorBidi"/>
      <w:b/>
      <w:bCs/>
      <w:color w:val="2E75B6" w:themeColor="accent1" w:themeShade="BF"/>
      <w:sz w:val="28"/>
      <w:szCs w:val="28"/>
    </w:rPr>
  </w:style>
  <w:style w:type="character" w:customStyle="1" w:styleId="143">
    <w:name w:val="Heading 2 Char"/>
    <w:basedOn w:val="11"/>
    <w:link w:val="3"/>
    <w:uiPriority w:val="9"/>
    <w:rPr>
      <w:rFonts w:asciiTheme="majorHAnsi" w:hAnsiTheme="majorHAnsi" w:eastAsiaTheme="majorEastAsia" w:cstheme="majorBidi"/>
      <w:b/>
      <w:bCs/>
      <w:color w:val="5B9BD5" w:themeColor="accent1"/>
      <w:sz w:val="26"/>
      <w:szCs w:val="26"/>
      <w14:textFill>
        <w14:solidFill>
          <w14:schemeClr w14:val="accent1"/>
        </w14:solidFill>
      </w14:textFill>
    </w:rPr>
  </w:style>
  <w:style w:type="character" w:customStyle="1" w:styleId="144">
    <w:name w:val="Heading 3 Char"/>
    <w:basedOn w:val="11"/>
    <w:link w:val="4"/>
    <w:uiPriority w:val="9"/>
    <w:rPr>
      <w:rFonts w:asciiTheme="majorHAnsi" w:hAnsiTheme="majorHAnsi" w:eastAsiaTheme="majorEastAsia" w:cstheme="majorBidi"/>
      <w:b/>
      <w:bCs/>
      <w:color w:val="5B9BD5" w:themeColor="accent1"/>
      <w14:textFill>
        <w14:solidFill>
          <w14:schemeClr w14:val="accent1"/>
        </w14:solidFill>
      </w14:textFill>
    </w:rPr>
  </w:style>
  <w:style w:type="character" w:customStyle="1" w:styleId="145">
    <w:name w:val="Title Char"/>
    <w:basedOn w:val="11"/>
    <w:link w:val="40"/>
    <w:uiPriority w:val="10"/>
    <w:rPr>
      <w:rFonts w:asciiTheme="majorHAnsi" w:hAnsiTheme="majorHAnsi" w:eastAsiaTheme="majorEastAsia" w:cstheme="majorBidi"/>
      <w:color w:val="333F50" w:themeColor="text2" w:themeShade="BF"/>
      <w:spacing w:val="5"/>
      <w:kern w:val="28"/>
      <w:sz w:val="52"/>
      <w:szCs w:val="52"/>
    </w:rPr>
  </w:style>
  <w:style w:type="character" w:customStyle="1" w:styleId="146">
    <w:name w:val="Subtitle Char"/>
    <w:basedOn w:val="11"/>
    <w:link w:val="38"/>
    <w:qFormat/>
    <w:uiPriority w:val="11"/>
    <w:rPr>
      <w:rFonts w:asciiTheme="majorHAnsi" w:hAnsiTheme="majorHAnsi" w:eastAsiaTheme="majorEastAsia" w:cstheme="majorBidi"/>
      <w:i/>
      <w:iCs/>
      <w:color w:val="5B9BD5" w:themeColor="accent1"/>
      <w:spacing w:val="15"/>
      <w:sz w:val="24"/>
      <w:szCs w:val="24"/>
      <w14:textFill>
        <w14:solidFill>
          <w14:schemeClr w14:val="accent1"/>
        </w14:solidFill>
      </w14:textFill>
    </w:rPr>
  </w:style>
  <w:style w:type="paragraph" w:styleId="147">
    <w:name w:val="List Paragraph"/>
    <w:basedOn w:val="1"/>
    <w:qFormat/>
    <w:uiPriority w:val="34"/>
    <w:pPr>
      <w:ind w:left="720"/>
      <w:contextualSpacing/>
    </w:pPr>
  </w:style>
  <w:style w:type="character" w:customStyle="1" w:styleId="148">
    <w:name w:val="Body Text Char"/>
    <w:basedOn w:val="11"/>
    <w:link w:val="13"/>
    <w:qFormat/>
    <w:uiPriority w:val="99"/>
  </w:style>
  <w:style w:type="character" w:customStyle="1" w:styleId="149">
    <w:name w:val="Body Text 2 Char"/>
    <w:basedOn w:val="11"/>
    <w:link w:val="14"/>
    <w:uiPriority w:val="99"/>
  </w:style>
  <w:style w:type="character" w:customStyle="1" w:styleId="150">
    <w:name w:val="Body Text 3 Char"/>
    <w:basedOn w:val="11"/>
    <w:link w:val="15"/>
    <w:qFormat/>
    <w:uiPriority w:val="99"/>
    <w:rPr>
      <w:sz w:val="16"/>
      <w:szCs w:val="16"/>
    </w:rPr>
  </w:style>
  <w:style w:type="character" w:customStyle="1" w:styleId="151">
    <w:name w:val="Macro Text Char"/>
    <w:basedOn w:val="11"/>
    <w:link w:val="35"/>
    <w:qFormat/>
    <w:uiPriority w:val="99"/>
    <w:rPr>
      <w:rFonts w:ascii="Courier" w:hAnsi="Courier"/>
      <w:sz w:val="20"/>
      <w:szCs w:val="20"/>
    </w:rPr>
  </w:style>
  <w:style w:type="paragraph" w:styleId="152">
    <w:name w:val="Quote"/>
    <w:basedOn w:val="1"/>
    <w:next w:val="1"/>
    <w:link w:val="153"/>
    <w:qFormat/>
    <w:uiPriority w:val="29"/>
    <w:rPr>
      <w:i/>
      <w:iCs/>
      <w:color w:val="000000" w:themeColor="text1"/>
      <w14:textFill>
        <w14:solidFill>
          <w14:schemeClr w14:val="tx1"/>
        </w14:solidFill>
      </w14:textFill>
    </w:rPr>
  </w:style>
  <w:style w:type="character" w:customStyle="1" w:styleId="153">
    <w:name w:val="Quote Char"/>
    <w:basedOn w:val="11"/>
    <w:link w:val="152"/>
    <w:qFormat/>
    <w:uiPriority w:val="29"/>
    <w:rPr>
      <w:i/>
      <w:iCs/>
      <w:color w:val="000000" w:themeColor="text1"/>
      <w14:textFill>
        <w14:solidFill>
          <w14:schemeClr w14:val="tx1"/>
        </w14:solidFill>
      </w14:textFill>
    </w:rPr>
  </w:style>
  <w:style w:type="character" w:customStyle="1" w:styleId="154">
    <w:name w:val="Heading 4 Char"/>
    <w:basedOn w:val="11"/>
    <w:link w:val="5"/>
    <w:semiHidden/>
    <w:qFormat/>
    <w:uiPriority w:val="9"/>
    <w:rPr>
      <w:rFonts w:asciiTheme="majorHAnsi" w:hAnsiTheme="majorHAnsi" w:eastAsiaTheme="majorEastAsia" w:cstheme="majorBidi"/>
      <w:b/>
      <w:bCs/>
      <w:i/>
      <w:iCs/>
      <w:color w:val="5B9BD5" w:themeColor="accent1"/>
      <w14:textFill>
        <w14:solidFill>
          <w14:schemeClr w14:val="accent1"/>
        </w14:solidFill>
      </w14:textFill>
    </w:rPr>
  </w:style>
  <w:style w:type="character" w:customStyle="1" w:styleId="155">
    <w:name w:val="Heading 5 Char"/>
    <w:basedOn w:val="11"/>
    <w:link w:val="6"/>
    <w:semiHidden/>
    <w:qFormat/>
    <w:uiPriority w:val="9"/>
    <w:rPr>
      <w:rFonts w:asciiTheme="majorHAnsi" w:hAnsiTheme="majorHAnsi" w:eastAsiaTheme="majorEastAsia" w:cstheme="majorBidi"/>
      <w:color w:val="1F4E79" w:themeColor="accent1" w:themeShade="80"/>
    </w:rPr>
  </w:style>
  <w:style w:type="character" w:customStyle="1" w:styleId="156">
    <w:name w:val="Heading 6 Char"/>
    <w:basedOn w:val="11"/>
    <w:link w:val="7"/>
    <w:semiHidden/>
    <w:qFormat/>
    <w:uiPriority w:val="9"/>
    <w:rPr>
      <w:rFonts w:asciiTheme="majorHAnsi" w:hAnsiTheme="majorHAnsi" w:eastAsiaTheme="majorEastAsia" w:cstheme="majorBidi"/>
      <w:i/>
      <w:iCs/>
      <w:color w:val="1F4E79" w:themeColor="accent1" w:themeShade="80"/>
    </w:rPr>
  </w:style>
  <w:style w:type="character" w:customStyle="1" w:styleId="157">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8">
    <w:name w:val="Heading 8 Char"/>
    <w:basedOn w:val="11"/>
    <w:link w:val="9"/>
    <w:semiHidden/>
    <w:uiPriority w:val="9"/>
    <w:rPr>
      <w:rFonts w:asciiTheme="majorHAnsi" w:hAnsiTheme="majorHAnsi" w:eastAsiaTheme="majorEastAsia" w:cstheme="majorBidi"/>
      <w:color w:val="5B9BD5" w:themeColor="accent1"/>
      <w:sz w:val="20"/>
      <w:szCs w:val="20"/>
      <w14:textFill>
        <w14:solidFill>
          <w14:schemeClr w14:val="accent1"/>
        </w14:solidFill>
      </w14:textFill>
    </w:rPr>
  </w:style>
  <w:style w:type="character" w:customStyle="1" w:styleId="159">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0">
    <w:name w:val="Intense Quote"/>
    <w:basedOn w:val="1"/>
    <w:next w:val="1"/>
    <w:link w:val="161"/>
    <w:qFormat/>
    <w:uiPriority w:val="30"/>
    <w:pPr>
      <w:pBdr>
        <w:bottom w:val="single" w:color="5B9BD5" w:themeColor="accent1" w:sz="4" w:space="4"/>
      </w:pBdr>
      <w:spacing w:before="200" w:after="280"/>
      <w:ind w:left="936" w:right="936"/>
    </w:pPr>
    <w:rPr>
      <w:b/>
      <w:bCs/>
      <w:i/>
      <w:iCs/>
      <w:color w:val="5B9BD5" w:themeColor="accent1"/>
      <w14:textFill>
        <w14:solidFill>
          <w14:schemeClr w14:val="accent1"/>
        </w14:solidFill>
      </w14:textFill>
    </w:rPr>
  </w:style>
  <w:style w:type="character" w:customStyle="1" w:styleId="161">
    <w:name w:val="Intense Quote Char"/>
    <w:basedOn w:val="11"/>
    <w:link w:val="160"/>
    <w:qFormat/>
    <w:uiPriority w:val="30"/>
    <w:rPr>
      <w:b/>
      <w:bCs/>
      <w:i/>
      <w:iCs/>
      <w:color w:val="5B9BD5" w:themeColor="accent1"/>
      <w14:textFill>
        <w14:solidFill>
          <w14:schemeClr w14:val="accent1"/>
        </w14:solidFill>
      </w14:textFill>
    </w:rPr>
  </w:style>
  <w:style w:type="character" w:customStyle="1" w:styleId="162">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3">
    <w:name w:val="Intense Emphasis"/>
    <w:basedOn w:val="11"/>
    <w:qFormat/>
    <w:uiPriority w:val="21"/>
    <w:rPr>
      <w:b/>
      <w:bCs/>
      <w:i/>
      <w:iCs/>
      <w:color w:val="5B9BD5" w:themeColor="accent1"/>
      <w14:textFill>
        <w14:solidFill>
          <w14:schemeClr w14:val="accent1"/>
        </w14:solidFill>
      </w14:textFill>
    </w:rPr>
  </w:style>
  <w:style w:type="character" w:customStyle="1" w:styleId="164">
    <w:name w:val="Subtle Reference"/>
    <w:basedOn w:val="11"/>
    <w:qFormat/>
    <w:uiPriority w:val="31"/>
    <w:rPr>
      <w:smallCaps/>
      <w:color w:val="ED7D31" w:themeColor="accent2"/>
      <w:u w:val="single"/>
      <w14:textFill>
        <w14:solidFill>
          <w14:schemeClr w14:val="accent2"/>
        </w14:solidFill>
      </w14:textFill>
    </w:rPr>
  </w:style>
  <w:style w:type="character" w:customStyle="1" w:styleId="165">
    <w:name w:val="Intense Reference"/>
    <w:basedOn w:val="11"/>
    <w:qFormat/>
    <w:uiPriority w:val="32"/>
    <w:rPr>
      <w:b/>
      <w:bCs/>
      <w:smallCaps/>
      <w:color w:val="ED7D31" w:themeColor="accent2"/>
      <w:spacing w:val="5"/>
      <w:u w:val="single"/>
      <w14:textFill>
        <w14:solidFill>
          <w14:schemeClr w14:val="accent2"/>
        </w14:solidFill>
      </w14:textFill>
    </w:rPr>
  </w:style>
  <w:style w:type="character" w:customStyle="1" w:styleId="166">
    <w:name w:val="Book Title"/>
    <w:basedOn w:val="11"/>
    <w:qFormat/>
    <w:uiPriority w:val="33"/>
    <w:rPr>
      <w:b/>
      <w:bCs/>
      <w:smallCaps/>
      <w:spacing w:val="5"/>
    </w:rPr>
  </w:style>
  <w:style w:type="paragraph" w:customStyle="1" w:styleId="167">
    <w:name w:val="TOC Heading"/>
    <w:basedOn w:val="2"/>
    <w:next w:val="1"/>
    <w:semiHidden/>
    <w:unhideWhenUsed/>
    <w:qFormat/>
    <w:uiPriority w:val="39"/>
    <w:pPr>
      <w:outlineLvl w:val="9"/>
    </w:pPr>
  </w:style>
  <w:style w:type="character" w:customStyle="1" w:styleId="168">
    <w:name w:val="Normal (Web) Char"/>
    <w:link w:val="36"/>
    <w:qFormat/>
    <w:locked/>
    <w:uiPriority w:val="99"/>
    <w:rPr>
      <w:rFonts w:ascii="Times New Roman" w:hAnsi="Times New Roman" w:eastAsia="Times New Roman" w:cs="Times New Roman"/>
      <w:sz w:val="24"/>
      <w:szCs w:val="24"/>
    </w:rPr>
  </w:style>
  <w:style w:type="character" w:customStyle="1" w:styleId="169">
    <w:name w:val="Footnote Text Char"/>
    <w:basedOn w:val="11"/>
    <w:link w:val="21"/>
    <w:qFormat/>
    <w:uiPriority w:val="0"/>
    <w:rPr>
      <w:rFonts w:ascii="Times New Roman" w:hAnsi="Times New Roman" w:eastAsia="Times New Roman" w:cs="Times New Roman"/>
      <w:sz w:val="20"/>
      <w:szCs w:val="20"/>
    </w:rPr>
  </w:style>
  <w:style w:type="character" w:customStyle="1" w:styleId="170">
    <w:name w:val="fontstyle01"/>
    <w:qFormat/>
    <w:uiPriority w:val="0"/>
    <w:rPr>
      <w:rFonts w:hint="default" w:ascii="TimesNewRomanPSMT" w:hAnsi="TimesNewRomanPSMT"/>
      <w:color w:val="00000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0A137E-569D-4207-86EE-3FAD4C012C6B}">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4812</Words>
  <Characters>17078</Characters>
  <Lines>155</Lines>
  <Paragraphs>43</Paragraphs>
  <TotalTime>16</TotalTime>
  <ScaleCrop>false</ScaleCrop>
  <LinksUpToDate>false</LinksUpToDate>
  <CharactersWithSpaces>21798</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2026-10-27T02:13:00Z</dcterms:created>
  <dc:creator>python-docx</dc:creator>
  <dc:description>generated by python-docx</dc:description>
  <cp:lastModifiedBy>user</cp:lastModifiedBy>
  <dcterms:modified xsi:type="dcterms:W3CDTF">2026-11-02T01:57:51Z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2F4C486D094142D4B001E3BAD215F0CB_13</vt:lpwstr>
  </property>
</Properties>
</file>