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640" w:type="dxa"/>
        <w:tblInd w:w="-176" w:type="dxa"/>
        <w:tblLayout w:type="fixed"/>
        <w:tblCellMar>
          <w:top w:w="0" w:type="dxa"/>
          <w:left w:w="108" w:type="dxa"/>
          <w:bottom w:w="0" w:type="dxa"/>
          <w:right w:w="108" w:type="dxa"/>
        </w:tblCellMar>
      </w:tblPr>
      <w:tblGrid>
        <w:gridCol w:w="4122"/>
        <w:gridCol w:w="5518"/>
      </w:tblGrid>
      <w:tr w14:paraId="56918040">
        <w:tblPrEx>
          <w:tblCellMar>
            <w:top w:w="0" w:type="dxa"/>
            <w:left w:w="108" w:type="dxa"/>
            <w:bottom w:w="0" w:type="dxa"/>
            <w:right w:w="108" w:type="dxa"/>
          </w:tblCellMar>
        </w:tblPrEx>
        <w:trPr>
          <w:trHeight w:val="1756" w:hRule="atLeast"/>
        </w:trPr>
        <w:tc>
          <w:tcPr>
            <w:tcW w:w="4122" w:type="dxa"/>
          </w:tcPr>
          <w:p w14:paraId="6FEBE655">
            <w:pPr>
              <w:jc w:val="center"/>
              <w:rPr>
                <w:sz w:val="26"/>
              </w:rPr>
            </w:pPr>
            <w:bookmarkStart w:id="1" w:name="_GoBack"/>
            <w:bookmarkEnd w:id="1"/>
            <w:r>
              <w:rPr>
                <w:sz w:val="26"/>
              </w:rPr>
              <w:t>UBND TỈNH HÀ TĨNH</w:t>
            </w:r>
          </w:p>
          <w:p w14:paraId="47F02B03">
            <w:pPr>
              <w:ind w:right="-108" w:firstLine="20"/>
              <w:jc w:val="center"/>
              <w:rPr>
                <w:b/>
                <w:sz w:val="26"/>
              </w:rPr>
            </w:pPr>
            <w:r>
              <w:rPr>
                <w:b/>
                <w:sz w:val="26"/>
              </w:rPr>
              <w:t>SỞ NỘI VỤ</w:t>
            </w:r>
          </w:p>
          <w:p w14:paraId="63AEEDBA">
            <w:pPr>
              <w:jc w:val="center"/>
              <w:rPr>
                <w:sz w:val="16"/>
              </w:rPr>
            </w:pPr>
            <w:r>
              <w:rPr>
                <w:sz w:val="20"/>
              </w:rPr>
              <mc:AlternateContent>
                <mc:Choice Requires="wps">
                  <w:drawing>
                    <wp:anchor distT="0" distB="0" distL="114300" distR="114300" simplePos="0" relativeHeight="251659264" behindDoc="0" locked="0" layoutInCell="1" allowOverlap="1">
                      <wp:simplePos x="0" y="0"/>
                      <wp:positionH relativeFrom="column">
                        <wp:posOffset>915035</wp:posOffset>
                      </wp:positionH>
                      <wp:positionV relativeFrom="paragraph">
                        <wp:posOffset>33020</wp:posOffset>
                      </wp:positionV>
                      <wp:extent cx="746125" cy="0"/>
                      <wp:effectExtent l="0" t="0" r="0" b="0"/>
                      <wp:wrapNone/>
                      <wp:docPr id="2" name="Line 2"/>
                      <wp:cNvGraphicFramePr/>
                      <a:graphic xmlns:a="http://schemas.openxmlformats.org/drawingml/2006/main">
                        <a:graphicData uri="http://schemas.microsoft.com/office/word/2010/wordprocessingShape">
                          <wps:wsp>
                            <wps:cNvCnPr>
                              <a:cxnSpLocks noChangeShapeType="1"/>
                            </wps:cNvCnPr>
                            <wps:spPr bwMode="auto">
                              <a:xfrm>
                                <a:off x="0" y="0"/>
                                <a:ext cx="746125"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72.05pt;margin-top:2.6pt;height:0pt;width:58.75pt;z-index:251659264;mso-width-relative:page;mso-height-relative:page;" filled="f" stroked="t" coordsize="21600,21600" o:gfxdata="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jDtH0wAAAAcBAAAPAAAAAAAAAAEAIAAAACIAAABkcnMvZG93bnJldi54&#10;bWxQSwECFAAUAAAACACHTuJAacKZSMYBAACeAwAADgAAAAAAAAABACAAAAAiAQAAZHJzL2Uyb0Rv&#10;Yy54bWxQSwUGAAAAAAYABgBZAQAAWgUAAAAA&#10;">
                      <v:fill on="f" focussize="0,0"/>
                      <v:stroke color="#000000" joinstyle="round"/>
                      <v:imagedata o:title=""/>
                      <o:lock v:ext="edit" aspectratio="f"/>
                    </v:line>
                  </w:pict>
                </mc:Fallback>
              </mc:AlternateContent>
            </w:r>
          </w:p>
          <w:p w14:paraId="48E2D807">
            <w:pPr>
              <w:spacing w:before="240"/>
              <w:jc w:val="center"/>
            </w:pPr>
            <w:r>
              <w:t>Số:            /TTr – SNV</w:t>
            </w:r>
          </w:p>
          <w:p w14:paraId="1C01643C">
            <w:pPr>
              <w:spacing w:before="240"/>
              <w:jc w:val="center"/>
              <w:rPr>
                <w:b/>
                <w:bCs/>
              </w:rPr>
            </w:pPr>
            <w:r>
              <w:rPr>
                <w:b/>
                <w:bCs/>
              </w:rPr>
              <w:t>DỰ THẢO</w:t>
            </w:r>
          </w:p>
          <w:p w14:paraId="41866E1E">
            <w:pPr>
              <w:spacing w:before="120"/>
              <w:jc w:val="center"/>
              <w:rPr>
                <w:b/>
                <w:bCs/>
              </w:rPr>
            </w:pPr>
          </w:p>
        </w:tc>
        <w:tc>
          <w:tcPr>
            <w:tcW w:w="5518" w:type="dxa"/>
          </w:tcPr>
          <w:p w14:paraId="5D3B4C1D">
            <w:pPr>
              <w:pStyle w:val="2"/>
              <w:ind w:left="-56" w:hanging="52"/>
              <w:rPr>
                <w:sz w:val="24"/>
              </w:rPr>
            </w:pPr>
            <w:r>
              <w:rPr>
                <w:spacing w:val="-4"/>
                <w:sz w:val="24"/>
                <w:szCs w:val="26"/>
              </w:rPr>
              <w:t xml:space="preserve">  </w:t>
            </w:r>
            <w:r>
              <w:rPr>
                <w:spacing w:val="-4"/>
                <w:szCs w:val="26"/>
              </w:rPr>
              <w:t>CỘNG HOÀ XÃ HỘI CHỦ NGHĨA VIỆT NA</w:t>
            </w:r>
            <w:r>
              <w:t>M</w:t>
            </w:r>
          </w:p>
          <w:p w14:paraId="46E3DEDC">
            <w:pPr>
              <w:jc w:val="center"/>
              <w:rPr>
                <w:b/>
                <w:szCs w:val="26"/>
              </w:rPr>
            </w:pPr>
            <w:r>
              <w:rPr>
                <w:rFonts w:hint="eastAsia"/>
                <w:b/>
                <w:sz w:val="28"/>
                <w:szCs w:val="26"/>
              </w:rPr>
              <w:t>Đ</w:t>
            </w:r>
            <w:r>
              <w:rPr>
                <w:b/>
                <w:sz w:val="28"/>
                <w:szCs w:val="26"/>
              </w:rPr>
              <w:t>ộc lập - Tự do - Hạnh phúc</w:t>
            </w:r>
          </w:p>
          <w:p w14:paraId="2EE96E19">
            <w:pPr>
              <w:rPr>
                <w:sz w:val="16"/>
              </w:rPr>
            </w:pPr>
            <w:r>
              <w:rPr>
                <w:sz w:val="20"/>
              </w:rPr>
              <mc:AlternateContent>
                <mc:Choice Requires="wps">
                  <w:drawing>
                    <wp:anchor distT="0" distB="0" distL="114300" distR="114300" simplePos="0" relativeHeight="251660288" behindDoc="0" locked="0" layoutInCell="1" allowOverlap="1">
                      <wp:simplePos x="0" y="0"/>
                      <wp:positionH relativeFrom="column">
                        <wp:posOffset>680085</wp:posOffset>
                      </wp:positionH>
                      <wp:positionV relativeFrom="paragraph">
                        <wp:posOffset>31750</wp:posOffset>
                      </wp:positionV>
                      <wp:extent cx="2042795" cy="0"/>
                      <wp:effectExtent l="0" t="0" r="0" b="0"/>
                      <wp:wrapNone/>
                      <wp:docPr id="1" name="Line 3"/>
                      <wp:cNvGraphicFramePr/>
                      <a:graphic xmlns:a="http://schemas.openxmlformats.org/drawingml/2006/main">
                        <a:graphicData uri="http://schemas.microsoft.com/office/word/2010/wordprocessingShape">
                          <wps:wsp>
                            <wps:cNvCnPr>
                              <a:cxnSpLocks noChangeShapeType="1"/>
                            </wps:cNvCnPr>
                            <wps:spPr bwMode="auto">
                              <a:xfrm>
                                <a:off x="0" y="0"/>
                                <a:ext cx="2042795" cy="0"/>
                              </a:xfrm>
                              <a:prstGeom prst="line">
                                <a:avLst/>
                              </a:prstGeom>
                              <a:noFill/>
                              <a:ln w="9525">
                                <a:solidFill>
                                  <a:srgbClr val="000000"/>
                                </a:solidFill>
                                <a:round/>
                              </a:ln>
                            </wps:spPr>
                            <wps:bodyPr/>
                          </wps:wsp>
                        </a:graphicData>
                      </a:graphic>
                    </wp:anchor>
                  </w:drawing>
                </mc:Choice>
                <mc:Fallback>
                  <w:pict>
                    <v:line id="Line 3" o:spid="_x0000_s1026" o:spt="20" style="position:absolute;left:0pt;margin-left:53.55pt;margin-top:2.5pt;height:0pt;width:160.85pt;z-index:251660288;mso-width-relative:page;mso-height-relative:page;" filled="f" stroked="t" coordsize="21600,21600" o:gfxdata="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8EAZR9MAAAAHAQAADwAAAAAAAAABACAAAAAiAAAAZHJzL2Rvd25y&#10;ZXYueG1sUEsBAhQAFAAAAAgAh07iQPOK7TbKAQAAnwMAAA4AAAAAAAAAAQAgAAAAIgEAAGRycy9l&#10;Mm9Eb2MueG1sUEsFBgAAAAAGAAYAWQEAAF4FAAAAAA==&#10;">
                      <v:fill on="f" focussize="0,0"/>
                      <v:stroke color="#000000" joinstyle="round"/>
                      <v:imagedata o:title=""/>
                      <o:lock v:ext="edit" aspectratio="f"/>
                    </v:line>
                  </w:pict>
                </mc:Fallback>
              </mc:AlternateContent>
            </w:r>
          </w:p>
          <w:p w14:paraId="4C317632">
            <w:pPr>
              <w:spacing w:before="240"/>
              <w:jc w:val="center"/>
              <w:rPr>
                <w:sz w:val="36"/>
                <w:szCs w:val="28"/>
              </w:rPr>
            </w:pPr>
            <w:r>
              <w:rPr>
                <w:i/>
                <w:sz w:val="28"/>
                <w:szCs w:val="28"/>
              </w:rPr>
              <w:t xml:space="preserve">   Hà Tĩnh, ngày     tháng 10   n</w:t>
            </w:r>
            <w:r>
              <w:rPr>
                <w:rFonts w:hint="eastAsia"/>
                <w:i/>
                <w:sz w:val="28"/>
                <w:szCs w:val="28"/>
              </w:rPr>
              <w:t>ă</w:t>
            </w:r>
            <w:r>
              <w:rPr>
                <w:i/>
                <w:sz w:val="28"/>
                <w:szCs w:val="28"/>
              </w:rPr>
              <w:t>m 2026</w:t>
            </w:r>
          </w:p>
          <w:p w14:paraId="20903016">
            <w:pPr>
              <w:rPr>
                <w:i/>
                <w:szCs w:val="28"/>
              </w:rPr>
            </w:pPr>
          </w:p>
        </w:tc>
      </w:tr>
    </w:tbl>
    <w:p w14:paraId="2D75519A">
      <w:pPr>
        <w:jc w:val="center"/>
        <w:rPr>
          <w:b/>
          <w:bCs/>
          <w:sz w:val="28"/>
          <w:szCs w:val="28"/>
        </w:rPr>
      </w:pPr>
      <w:r>
        <w:rPr>
          <w:b/>
          <w:bCs/>
          <w:sz w:val="28"/>
          <w:szCs w:val="28"/>
        </w:rPr>
        <w:t>TỜ TRÌNH</w:t>
      </w:r>
    </w:p>
    <w:p w14:paraId="08C8565E">
      <w:pPr>
        <w:jc w:val="center"/>
        <w:rPr>
          <w:b/>
          <w:bCs/>
          <w:sz w:val="28"/>
          <w:szCs w:val="28"/>
        </w:rPr>
      </w:pPr>
      <w:r>
        <w:rPr>
          <w:b/>
          <w:bCs/>
          <w:sz w:val="28"/>
          <w:szCs w:val="28"/>
        </w:rPr>
        <w:t>Đề nghị ban hành Quyết định của UBND tỉnh ban hành Quy chế</w:t>
      </w:r>
      <w:r>
        <w:rPr>
          <w:b/>
          <w:bCs/>
          <w:color w:val="222222"/>
          <w:sz w:val="28"/>
          <w:szCs w:val="28"/>
        </w:rPr>
        <w:t xml:space="preserve"> quản lý công trình ghi công liệt sĩ, mộ liệt sĩ trên địa bàn tỉnh Hà Tĩnh</w:t>
      </w:r>
    </w:p>
    <w:p w14:paraId="08A60A53">
      <w:pPr>
        <w:jc w:val="center"/>
        <w:rPr>
          <w:sz w:val="28"/>
          <w:szCs w:val="28"/>
        </w:rPr>
      </w:pPr>
      <w:r>
        <w:rPr>
          <w:sz w:val="28"/>
          <w:szCs w:val="28"/>
        </w:rPr>
        <mc:AlternateContent>
          <mc:Choice Requires="wps">
            <w:drawing>
              <wp:anchor distT="0" distB="0" distL="114300" distR="114300" simplePos="0" relativeHeight="251661312" behindDoc="0" locked="0" layoutInCell="1" allowOverlap="1">
                <wp:simplePos x="0" y="0"/>
                <wp:positionH relativeFrom="column">
                  <wp:posOffset>2183765</wp:posOffset>
                </wp:positionH>
                <wp:positionV relativeFrom="paragraph">
                  <wp:posOffset>57150</wp:posOffset>
                </wp:positionV>
                <wp:extent cx="1631950" cy="0"/>
                <wp:effectExtent l="0" t="0" r="0" b="0"/>
                <wp:wrapNone/>
                <wp:docPr id="133954967" name="Straight Connector 3"/>
                <wp:cNvGraphicFramePr/>
                <a:graphic xmlns:a="http://schemas.openxmlformats.org/drawingml/2006/main">
                  <a:graphicData uri="http://schemas.microsoft.com/office/word/2010/wordprocessingShape">
                    <wps:wsp>
                      <wps:cNvCnPr/>
                      <wps:spPr>
                        <a:xfrm>
                          <a:off x="0" y="0"/>
                          <a:ext cx="16320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o:spt="20" style="position:absolute;left:0pt;margin-left:171.95pt;margin-top:4.5pt;height:0pt;width:128.5pt;z-index:251661312;mso-width-relative:page;mso-height-relative:page;" filled="f" stroked="t" coordsize="21600,21600" o:gfxdata="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G8nzG1AAAAAcB&#10;AAAPAAAAAAAAAAEAIAAAACIAAABkcnMvZG93bnJldi54bWxQSwECFAAUAAAACACHTuJAU3UBv+YB&#10;AADeAwAADgAAAAAAAAABACAAAAAjAQAAZHJzL2Uyb0RvYy54bWxQSwUGAAAAAAYABgBZAQAAewUA&#10;AAAA&#10;">
                <v:fill on="f" focussize="0,0"/>
                <v:stroke color="#000000 [3200]" joinstyle="round"/>
                <v:imagedata o:title=""/>
                <o:lock v:ext="edit" aspectratio="f"/>
              </v:line>
            </w:pict>
          </mc:Fallback>
        </mc:AlternateContent>
      </w:r>
    </w:p>
    <w:p w14:paraId="13A49C2E">
      <w:pPr>
        <w:jc w:val="center"/>
        <w:rPr>
          <w:sz w:val="28"/>
          <w:szCs w:val="28"/>
        </w:rPr>
      </w:pPr>
    </w:p>
    <w:p w14:paraId="06188D91">
      <w:pPr>
        <w:jc w:val="center"/>
        <w:rPr>
          <w:sz w:val="28"/>
          <w:szCs w:val="28"/>
        </w:rPr>
      </w:pPr>
      <w:r>
        <w:rPr>
          <w:sz w:val="28"/>
          <w:szCs w:val="28"/>
        </w:rPr>
        <w:t>Kính gửi:  Ủy ban nhân dân tỉnh</w:t>
      </w:r>
    </w:p>
    <w:p w14:paraId="76FBA906">
      <w:pPr>
        <w:jc w:val="center"/>
        <w:rPr>
          <w:sz w:val="28"/>
          <w:szCs w:val="28"/>
        </w:rPr>
      </w:pPr>
      <w:r>
        <w:rPr>
          <w:sz w:val="28"/>
          <w:szCs w:val="28"/>
        </w:rPr>
        <w:t xml:space="preserve">              </w:t>
      </w:r>
    </w:p>
    <w:p w14:paraId="2F90319C">
      <w:pPr>
        <w:jc w:val="center"/>
        <w:rPr>
          <w:sz w:val="28"/>
          <w:szCs w:val="28"/>
        </w:rPr>
      </w:pPr>
    </w:p>
    <w:p w14:paraId="49CBECD6">
      <w:pPr>
        <w:pStyle w:val="2"/>
        <w:spacing w:before="120" w:after="80"/>
        <w:ind w:firstLine="567"/>
        <w:jc w:val="both"/>
        <w:rPr>
          <w:b w:val="0"/>
          <w:color w:val="000000"/>
          <w:sz w:val="28"/>
          <w:szCs w:val="28"/>
        </w:rPr>
      </w:pPr>
      <w:r>
        <w:rPr>
          <w:b w:val="0"/>
          <w:color w:val="000000"/>
          <w:sz w:val="28"/>
          <w:szCs w:val="28"/>
        </w:rPr>
        <w:t>Thực hiện Nghị định số 78/2025/NĐ-CP ngày 01/04/2025 của Chính phủ quy định chi tiết một số điều và biện pháp để tổ chức, hướng dẫn thi hành Luật Ban hành văn bản quy phạm pháp luật (được sửa đổi, bổ sung tại Nghị định số 187/2025/NĐ-CP ngày 01/7/2025 của Chính phủ).</w:t>
      </w:r>
    </w:p>
    <w:p w14:paraId="79354C7B">
      <w:pPr>
        <w:spacing w:before="120" w:after="80"/>
        <w:jc w:val="both"/>
        <w:rPr>
          <w:color w:val="000000"/>
          <w:sz w:val="28"/>
          <w:szCs w:val="28"/>
        </w:rPr>
      </w:pPr>
      <w:r>
        <w:rPr>
          <w:sz w:val="28"/>
          <w:szCs w:val="28"/>
        </w:rPr>
        <w:tab/>
      </w:r>
      <w:r>
        <w:rPr>
          <w:sz w:val="28"/>
          <w:szCs w:val="28"/>
        </w:rPr>
        <w:t>Thực hiện Văn bản số 10426/UBND-VX</w:t>
      </w:r>
      <w:r>
        <w:rPr>
          <w:sz w:val="28"/>
          <w:szCs w:val="28"/>
          <w:vertAlign w:val="subscript"/>
        </w:rPr>
        <w:t xml:space="preserve">2 </w:t>
      </w:r>
      <w:r>
        <w:rPr>
          <w:sz w:val="28"/>
          <w:szCs w:val="28"/>
        </w:rPr>
        <w:t xml:space="preserve">ngày 12/10/2026 của UBND tỉnh về việc đồng ý chủ trương xây dựng dự thảo Quyết định của UBND tỉnh về ban hành Quy chế quản lý các công trình ghi công liệt sĩ, mộ liệt sĩ trên địa bàn tỉnh Hà Tĩnh. </w:t>
      </w:r>
      <w:r>
        <w:rPr>
          <w:color w:val="000000"/>
          <w:sz w:val="28"/>
          <w:szCs w:val="28"/>
        </w:rPr>
        <w:t xml:space="preserve">Sở Nội vụ đã ban hành Văn bản số …../SNV-NCC ngày …/10/2026 đề nghị các sở, ngành, đoàn thể cấp tỉnh, UBND các xã, phường góp ý hồ sơ trình dự thảo </w:t>
      </w:r>
      <w:r>
        <w:rPr>
          <w:sz w:val="28"/>
          <w:szCs w:val="28"/>
        </w:rPr>
        <w:t>Quyết định của UBND tỉnh về ban hành Quy chế quản lý các công trình ghi công liệt sĩ, mộ liệt sĩ trên địa bàn tỉnh Hà Tĩnh</w:t>
      </w:r>
      <w:r>
        <w:rPr>
          <w:color w:val="000000"/>
          <w:sz w:val="28"/>
          <w:szCs w:val="28"/>
        </w:rPr>
        <w:t xml:space="preserve">. </w:t>
      </w:r>
    </w:p>
    <w:p w14:paraId="2F49AC4E">
      <w:pPr>
        <w:spacing w:before="120" w:after="80"/>
        <w:jc w:val="both"/>
        <w:rPr>
          <w:b/>
          <w:bCs/>
          <w:sz w:val="28"/>
          <w:szCs w:val="28"/>
        </w:rPr>
      </w:pPr>
      <w:r>
        <w:rPr>
          <w:color w:val="000000"/>
          <w:sz w:val="28"/>
          <w:szCs w:val="28"/>
        </w:rPr>
        <w:tab/>
      </w:r>
      <w:r>
        <w:rPr>
          <w:color w:val="000000"/>
          <w:sz w:val="28"/>
          <w:szCs w:val="28"/>
        </w:rPr>
        <w:t xml:space="preserve">Trên cơ sở ý kiến góp ý của các sở, ngành, đoàn thể cấp tỉnh; Báo cáo thẩm định của Sở Tư pháp tại Văn bản số….ngày…./…/2026, Sở Nội vụ đã tổng hợp, tiếp thu, giải trình hoàn thiện dự thảo Quyết định của Ủy ban nhân dân tỉnh về việc ban hành </w:t>
      </w:r>
      <w:r>
        <w:rPr>
          <w:color w:val="222222"/>
          <w:sz w:val="28"/>
          <w:szCs w:val="28"/>
        </w:rPr>
        <w:t>Quy chế quản lý công trình ghi công liệt sĩ, mộ liệt sĩ trên địa bàn tỉnh</w:t>
      </w:r>
      <w:r>
        <w:rPr>
          <w:color w:val="222222"/>
          <w:sz w:val="28"/>
          <w:szCs w:val="28"/>
          <w:lang w:val="vi-VN"/>
        </w:rPr>
        <w:t xml:space="preserve"> Hà Tĩnh</w:t>
      </w:r>
      <w:r>
        <w:rPr>
          <w:color w:val="222222"/>
          <w:sz w:val="28"/>
          <w:szCs w:val="28"/>
        </w:rPr>
        <w:t>,</w:t>
      </w:r>
      <w:r>
        <w:rPr>
          <w:bCs/>
          <w:sz w:val="28"/>
          <w:szCs w:val="28"/>
        </w:rPr>
        <w:t xml:space="preserve"> với các nội dung sau:</w:t>
      </w:r>
    </w:p>
    <w:p w14:paraId="3863E8A7">
      <w:pPr>
        <w:pStyle w:val="2"/>
        <w:spacing w:before="120" w:after="80"/>
        <w:ind w:firstLine="567"/>
        <w:jc w:val="both"/>
        <w:rPr>
          <w:b w:val="0"/>
          <w:bCs/>
          <w:sz w:val="28"/>
          <w:szCs w:val="28"/>
        </w:rPr>
      </w:pPr>
      <w:r>
        <w:rPr>
          <w:sz w:val="28"/>
          <w:szCs w:val="28"/>
        </w:rPr>
        <w:t>I. SỰ CẦN THIẾT BAN HÀNH VĂN BẢN</w:t>
      </w:r>
    </w:p>
    <w:p w14:paraId="6BE130F9">
      <w:pPr>
        <w:spacing w:before="120" w:after="80"/>
        <w:ind w:firstLine="567"/>
        <w:jc w:val="both"/>
        <w:rPr>
          <w:bCs/>
          <w:sz w:val="28"/>
          <w:szCs w:val="28"/>
        </w:rPr>
      </w:pPr>
      <w:bookmarkStart w:id="0" w:name="_Hlk216688270"/>
      <w:r>
        <w:rPr>
          <w:bCs/>
          <w:sz w:val="28"/>
          <w:szCs w:val="28"/>
        </w:rPr>
        <w:t>1. Căn cứ pháp lý</w:t>
      </w:r>
    </w:p>
    <w:p w14:paraId="3920A649">
      <w:pPr>
        <w:spacing w:before="120" w:after="80"/>
        <w:ind w:firstLine="567"/>
        <w:jc w:val="both"/>
        <w:rPr>
          <w:bCs/>
          <w:sz w:val="28"/>
          <w:szCs w:val="28"/>
        </w:rPr>
      </w:pPr>
      <w:r>
        <w:rPr>
          <w:bCs/>
          <w:sz w:val="28"/>
          <w:szCs w:val="28"/>
        </w:rPr>
        <w:t xml:space="preserve">Căn cứ Luật Tổ chức chính quyền địa phương số 72/2025/QH15 ngày 16/6/2025; </w:t>
      </w:r>
    </w:p>
    <w:p w14:paraId="349812AA">
      <w:pPr>
        <w:spacing w:before="120" w:after="80"/>
        <w:ind w:firstLine="567"/>
        <w:jc w:val="both"/>
        <w:rPr>
          <w:bCs/>
          <w:i/>
          <w:iCs/>
          <w:sz w:val="28"/>
          <w:szCs w:val="28"/>
        </w:rPr>
      </w:pPr>
      <w:r>
        <w:rPr>
          <w:bCs/>
          <w:sz w:val="28"/>
          <w:szCs w:val="28"/>
        </w:rPr>
        <w:t>Căn</w:t>
      </w:r>
      <w:r>
        <w:rPr>
          <w:bCs/>
          <w:sz w:val="28"/>
          <w:szCs w:val="28"/>
          <w:lang w:val="vi-VN"/>
        </w:rPr>
        <w:t xml:space="preserve"> cứ </w:t>
      </w:r>
      <w:r>
        <w:rPr>
          <w:bCs/>
          <w:sz w:val="28"/>
          <w:szCs w:val="28"/>
        </w:rPr>
        <w:t>Luật ban hành văn bản quy phạm pháp luật số 64/2026/QH15 ngày 19/02/2025 (được sửa đổi, bổ sung bởi Luật số 87/2025/QH15 ngày 25/6/2025)</w:t>
      </w:r>
      <w:r>
        <w:rPr>
          <w:sz w:val="28"/>
          <w:szCs w:val="28"/>
        </w:rPr>
        <w:t xml:space="preserve"> </w:t>
      </w:r>
      <w:r>
        <w:rPr>
          <w:i/>
          <w:iCs/>
          <w:sz w:val="28"/>
          <w:szCs w:val="28"/>
        </w:rPr>
        <w:t>(</w:t>
      </w:r>
      <w:r>
        <w:rPr>
          <w:bCs/>
          <w:i/>
          <w:iCs/>
          <w:sz w:val="28"/>
          <w:szCs w:val="28"/>
        </w:rPr>
        <w:t>Theo quy định tại điểm a, điểm b khoản 2 Điều 21 thì quy định UBND cấp tỉnh ban hành quyết định để quy định “Chi tiết điều, khoản, điểm và các nội dung khác được giao trong văn bản quy phạm pháp luật của cơ quan nhà nước cấp trên”; “Biện pháp thi hành Hiến pháp, luật, văn bản quy phạm pháp luật của cơ quan nhà nước cấp trên”).</w:t>
      </w:r>
    </w:p>
    <w:p w14:paraId="4910DCEC">
      <w:pPr>
        <w:pStyle w:val="10"/>
        <w:spacing w:before="120" w:beforeAutospacing="0" w:after="80" w:afterAutospacing="0"/>
        <w:ind w:firstLine="567"/>
        <w:jc w:val="both"/>
        <w:rPr>
          <w:rStyle w:val="7"/>
          <w:i w:val="0"/>
          <w:iCs w:val="0"/>
          <w:color w:val="222222"/>
          <w:sz w:val="28"/>
          <w:szCs w:val="28"/>
          <w:lang w:val="en-US"/>
        </w:rPr>
      </w:pPr>
      <w:r>
        <w:rPr>
          <w:rStyle w:val="7"/>
          <w:i w:val="0"/>
          <w:iCs w:val="0"/>
          <w:color w:val="222222"/>
          <w:sz w:val="28"/>
          <w:szCs w:val="28"/>
        </w:rPr>
        <w:t>Căn cứ Pháp lệnh Ưu đãi người có công với cách mạng số</w:t>
      </w:r>
      <w:r>
        <w:rPr>
          <w:rStyle w:val="7"/>
          <w:i w:val="0"/>
          <w:iCs w:val="0"/>
          <w:color w:val="222222"/>
          <w:sz w:val="28"/>
          <w:szCs w:val="28"/>
          <w:lang w:val="vi-VN"/>
        </w:rPr>
        <w:t xml:space="preserve"> 02/2020/UBTVQH14 </w:t>
      </w:r>
      <w:r>
        <w:rPr>
          <w:rStyle w:val="7"/>
          <w:i w:val="0"/>
          <w:iCs w:val="0"/>
          <w:color w:val="222222"/>
          <w:sz w:val="28"/>
          <w:szCs w:val="28"/>
          <w:lang w:val="en-US"/>
        </w:rPr>
        <w:t xml:space="preserve">ngày 09/12/2020 </w:t>
      </w:r>
      <w:r>
        <w:rPr>
          <w:rStyle w:val="7"/>
          <w:i w:val="0"/>
          <w:iCs w:val="0"/>
          <w:color w:val="222222"/>
          <w:sz w:val="28"/>
          <w:szCs w:val="28"/>
          <w:lang w:val="vi-VN"/>
        </w:rPr>
        <w:t>và Pháp lệnh số 05/2026/UBTVQH16</w:t>
      </w:r>
      <w:r>
        <w:rPr>
          <w:rStyle w:val="7"/>
          <w:i w:val="0"/>
          <w:iCs w:val="0"/>
          <w:color w:val="222222"/>
          <w:sz w:val="28"/>
          <w:szCs w:val="28"/>
          <w:lang w:val="en-US"/>
        </w:rPr>
        <w:t xml:space="preserve"> ngày 08/7/2026 (</w:t>
      </w:r>
      <w:r>
        <w:rPr>
          <w:i/>
          <w:iCs/>
          <w:color w:val="222222"/>
          <w:sz w:val="28"/>
          <w:szCs w:val="28"/>
          <w:lang w:val="en-US"/>
        </w:rPr>
        <w:t>Điểm d khoản 1 Điều 51 Pháp lệnh ưu đãi người có công với cách mạng quy định UBND tỉnh có trách nhiệm “Ban hành quy chế quản lý công trình ghi công liệt sỹ, mộ liệt sỹ trên địa bàn”).</w:t>
      </w:r>
    </w:p>
    <w:p w14:paraId="3E2ABF9D">
      <w:pPr>
        <w:pStyle w:val="10"/>
        <w:spacing w:before="120" w:beforeAutospacing="0" w:after="80" w:afterAutospacing="0"/>
        <w:ind w:firstLine="567"/>
        <w:jc w:val="both"/>
        <w:rPr>
          <w:i/>
          <w:iCs/>
          <w:sz w:val="28"/>
          <w:szCs w:val="28"/>
          <w:lang w:val="en-US"/>
        </w:rPr>
      </w:pPr>
      <w:r>
        <w:rPr>
          <w:rStyle w:val="7"/>
          <w:i w:val="0"/>
          <w:iCs w:val="0"/>
          <w:color w:val="222222"/>
          <w:sz w:val="28"/>
          <w:szCs w:val="28"/>
          <w:lang w:val="vi-VN"/>
        </w:rPr>
        <w:t>Căn cứ Nghị định số 131/2021/NĐ-CP ngày 30/12/2021 của Chính phủ quy định chi tiết và biện pháp thi hành Pháp lệnh Ưu đãi người có công với cách mạng</w:t>
      </w:r>
      <w:r>
        <w:rPr>
          <w:sz w:val="28"/>
          <w:szCs w:val="28"/>
          <w:lang w:val="en-US"/>
        </w:rPr>
        <w:t xml:space="preserve"> </w:t>
      </w:r>
      <w:r>
        <w:rPr>
          <w:i/>
          <w:iCs/>
          <w:sz w:val="28"/>
          <w:szCs w:val="28"/>
          <w:lang w:val="en-US"/>
        </w:rPr>
        <w:t>(Khoản 4 Điều 152 Nghị định số 131/2021/NĐ-CP ngày 30/12/2021 của Chính phủ quy định chi tiết và biện pháp thi hành Pháp lệnh Ưu đãi người có công với cách mạng quy định “UBND cấp tỉnh ban hành quy chế quản lý công trình ghi công liệt sỹ, mộ liệt sỹ trên địa bàn”).</w:t>
      </w:r>
    </w:p>
    <w:p w14:paraId="1959C5FD">
      <w:pPr>
        <w:pStyle w:val="10"/>
        <w:spacing w:before="120" w:beforeAutospacing="0" w:after="80" w:afterAutospacing="0"/>
        <w:ind w:firstLine="567"/>
        <w:jc w:val="both"/>
        <w:rPr>
          <w:color w:val="222222"/>
          <w:sz w:val="28"/>
          <w:szCs w:val="28"/>
          <w:lang w:val="vi-VN"/>
        </w:rPr>
      </w:pPr>
      <w:r>
        <w:rPr>
          <w:rStyle w:val="7"/>
          <w:i w:val="0"/>
          <w:iCs w:val="0"/>
          <w:color w:val="222222"/>
          <w:sz w:val="28"/>
          <w:szCs w:val="28"/>
          <w:lang w:val="vi-VN"/>
        </w:rPr>
        <w:t>Căn cứ Nghị định số 128/2025/NĐ-CP ngày 11/6/2025 của Chính phủ ban hành quy định về phân quyền, phân cấp quản lý nhà nước trong lĩnh vực nội vụ;</w:t>
      </w:r>
    </w:p>
    <w:p w14:paraId="240D45C4">
      <w:pPr>
        <w:pStyle w:val="10"/>
        <w:spacing w:before="120" w:beforeAutospacing="0" w:after="80" w:afterAutospacing="0"/>
        <w:ind w:firstLine="567"/>
        <w:jc w:val="both"/>
        <w:rPr>
          <w:i/>
          <w:iCs/>
          <w:color w:val="222222"/>
          <w:sz w:val="28"/>
          <w:szCs w:val="28"/>
          <w:lang w:val="vi-VN"/>
        </w:rPr>
      </w:pPr>
      <w:r>
        <w:rPr>
          <w:rStyle w:val="7"/>
          <w:i w:val="0"/>
          <w:iCs w:val="0"/>
          <w:color w:val="222222"/>
          <w:sz w:val="28"/>
          <w:szCs w:val="28"/>
          <w:lang w:val="vi-VN"/>
        </w:rPr>
        <w:t xml:space="preserve">Căn cứ Nghị định số 129/2025/NĐ-CP ngày 11/6/2025 của Chính phủ quy định về phân định thẩm quyền của chính quyền địa phương 02 cấp trong lĩnh vực quản lý nhà nước của Bộ Nội vụ </w:t>
      </w:r>
      <w:r>
        <w:rPr>
          <w:sz w:val="28"/>
          <w:szCs w:val="28"/>
          <w:lang w:val="vi-VN"/>
        </w:rPr>
        <w:t>(Điều 35. Nội dung quản lý mộ liệt sĩ, nghĩa trang liệt liệt sĩ)</w:t>
      </w:r>
      <w:r>
        <w:rPr>
          <w:rStyle w:val="7"/>
          <w:i w:val="0"/>
          <w:iCs w:val="0"/>
          <w:color w:val="222222"/>
          <w:sz w:val="28"/>
          <w:szCs w:val="28"/>
          <w:lang w:val="vi-VN"/>
        </w:rPr>
        <w:t>.</w:t>
      </w:r>
    </w:p>
    <w:p w14:paraId="2C3A354A">
      <w:pPr>
        <w:spacing w:before="120" w:after="80"/>
        <w:ind w:firstLine="567"/>
        <w:jc w:val="both"/>
        <w:rPr>
          <w:bCs/>
          <w:sz w:val="28"/>
          <w:szCs w:val="28"/>
          <w:lang w:val="vi-VN"/>
        </w:rPr>
      </w:pPr>
      <w:r>
        <w:rPr>
          <w:bCs/>
          <w:sz w:val="28"/>
          <w:szCs w:val="28"/>
          <w:lang w:val="vi-VN"/>
        </w:rPr>
        <w:t>2. Căn cứ thực tiễn</w:t>
      </w:r>
    </w:p>
    <w:bookmarkEnd w:id="0"/>
    <w:p w14:paraId="501B1D7E">
      <w:pPr>
        <w:spacing w:before="120" w:after="80"/>
        <w:ind w:firstLine="567"/>
        <w:jc w:val="both"/>
        <w:rPr>
          <w:sz w:val="28"/>
          <w:szCs w:val="28"/>
          <w:lang w:val="vi-VN"/>
        </w:rPr>
      </w:pPr>
      <w:r>
        <w:rPr>
          <w:sz w:val="28"/>
          <w:szCs w:val="28"/>
          <w:lang w:val="vi-VN"/>
        </w:rPr>
        <w:t>Hiện nay, trên địa bàn toàn tỉnh có 259 công trình ghi công liệt sĩ, trong đó: 12 nghĩa trang liệt sĩ; 240 đài tưởng niệm, nhà bia tưởng niệm; 07 đền thờ liệt sĩ. Tổng số mộ liệt sĩ tại các nghĩa trang liệt sĩ trên địa bàn tỉnh: 6.879 mộ; mộ liệt sĩ tại nghĩa trang gia đình, dòng họ: 2.254 mộ. Trước khi thực hiện chính quyền địa phương 2 cấp, việc quản lý các công trình nghĩa trang liệt sĩ, mộ liệt sĩ thuộc trách nhiệm của Ủy ban nhân dân cấp huyện, từ sau ngày 01/7/2025 đến nay việc quản lý nghĩa trang liệt sĩ, mộ liệt sĩ tạm thời được bàn giao cho Ủy ban nhân dân cấp xã, nhưng chưa có quy chế để điều chỉnh.</w:t>
      </w:r>
    </w:p>
    <w:p w14:paraId="3B473ACC">
      <w:pPr>
        <w:spacing w:before="120" w:after="80"/>
        <w:ind w:firstLine="567"/>
        <w:jc w:val="both"/>
        <w:rPr>
          <w:sz w:val="28"/>
          <w:szCs w:val="28"/>
          <w:lang w:val="vi-VN"/>
        </w:rPr>
      </w:pPr>
      <w:r>
        <w:rPr>
          <w:sz w:val="28"/>
          <w:szCs w:val="28"/>
          <w:lang w:val="vi-VN"/>
        </w:rPr>
        <w:t xml:space="preserve">Theo quy định tại Mục 3 Chương V, Nghị định số 131/2021/NĐ-CP ngày 30/12/2021 của Chính phủ và Điều 35, </w:t>
      </w:r>
      <w:r>
        <w:rPr>
          <w:rStyle w:val="7"/>
          <w:i w:val="0"/>
          <w:iCs w:val="0"/>
          <w:color w:val="222222"/>
          <w:sz w:val="28"/>
          <w:szCs w:val="28"/>
          <w:lang w:val="vi-VN"/>
        </w:rPr>
        <w:t>Nghị định số 129/2025/NĐ-CP ngày 11/6/2025 của Chính phủ</w:t>
      </w:r>
      <w:r>
        <w:rPr>
          <w:sz w:val="28"/>
          <w:szCs w:val="28"/>
          <w:lang w:val="vi-VN"/>
        </w:rPr>
        <w:t xml:space="preserve">: Các công trình ghi công liệt sĩ, mộ liệt sĩ phải có bộ phận quản lý và thường xuyên chăm sóc, duy tu, nâng cấp sửa chữa để công trình thực sự là nơi tưởng niệm, tri ân các Anh hùng liệt sĩ. </w:t>
      </w:r>
    </w:p>
    <w:p w14:paraId="36A77DA6">
      <w:pPr>
        <w:spacing w:before="120" w:after="80"/>
        <w:ind w:firstLine="567"/>
        <w:jc w:val="both"/>
        <w:rPr>
          <w:sz w:val="28"/>
          <w:szCs w:val="28"/>
          <w:lang w:val="vi-VN"/>
        </w:rPr>
      </w:pPr>
      <w:r>
        <w:rPr>
          <w:sz w:val="28"/>
          <w:szCs w:val="28"/>
          <w:lang w:val="vi-VN"/>
        </w:rPr>
        <w:t>Việc quản lý, sử dụng các công trình ghi công liệt sĩ trên địa bàn tỉnh Hà Tĩnh trước đây đã được Ủy ban nhân dân tỉnh ban hành Quyết định số 04/2015/QĐ-UBND ngày 21/01/2015 của UBND tỉnh Hà Tĩnh. Tuy vậy, các căn cứ pháp lý tại Quyết định số 04/2015/QĐ-UBND đã hết hiệu lực; mặt khác, sau khi thực hiện chính quyền địa phương 2 cấp, tổ chức bộ máy chính quyền địa phương, phạm vi địa giới hành chính, chức năng, nhiệm vụ và thẩm quyền của các cơ quan, đơn vị, địa phương có nhiều thay đổi. Một số nhiệm vụ trước đây thuộc trách nhiệm của Ủy ban nhân dân cấp huyện nay được chuyển giao, phân định lại cho Ủy ban nhân dân cấp xã; đồng thời, việc sắp xếp, tổ chức lại đơn vị hành chính làm thay đổi địa bàn, quy mô và phạm vi quản lý của nhiều xã, phường.</w:t>
      </w:r>
    </w:p>
    <w:p w14:paraId="528C2577">
      <w:pPr>
        <w:spacing w:before="120" w:after="80"/>
        <w:ind w:firstLine="567"/>
        <w:jc w:val="both"/>
        <w:rPr>
          <w:sz w:val="28"/>
          <w:szCs w:val="28"/>
          <w:lang w:val="vi-VN"/>
        </w:rPr>
      </w:pPr>
      <w:r>
        <w:rPr>
          <w:sz w:val="28"/>
          <w:szCs w:val="28"/>
          <w:lang w:val="vi-VN"/>
        </w:rPr>
        <w:t>Thực tiễn này đặt ra yêu cầu phải rà soát, xác định lại trách nhiệm, thẩm quyền của các cơ quan, đơn vị và Ủy ban nhân dân cấp xã trong quản lý, sử dụng, chăm sóc, bảo vệ, sửa chữa, cải tạo, nâng cấp và tôn tạo các công trình ghi công liệt sĩ; bảo đảm phù hợp với mô hình chính quyền địa phương 2 cấp và các quy định pháp luật hiện hành. Đặc biệt, cần quy định rõ trách nhiệm đối với từng loại công trình như nghĩa trang liệt sĩ, đài tưởng niệm liệt sĩ, nhà bia ghi tên liệt sĩ, đền thờ liệt sĩ và các công trình ghi công liệt sĩ khác.</w:t>
      </w:r>
    </w:p>
    <w:p w14:paraId="6586301A">
      <w:pPr>
        <w:spacing w:before="120" w:after="80"/>
        <w:ind w:firstLine="567"/>
        <w:jc w:val="both"/>
        <w:rPr>
          <w:sz w:val="28"/>
          <w:szCs w:val="28"/>
          <w:lang w:val="vi-VN"/>
        </w:rPr>
      </w:pPr>
      <w:r>
        <w:rPr>
          <w:sz w:val="28"/>
          <w:szCs w:val="28"/>
          <w:lang w:val="vi-VN"/>
        </w:rPr>
        <w:t>Bên cạnh đó, trong quá trình thực hiện, một số công trình ghi công liệt sĩ được xây dựng từ nhiều lâu đã có dấu hiệu xuống cấp, cần được sửa chữa, nâng cấp, tôn tạo; việc bố trí kinh phí, huy động nguồn lực xã hội hóa, quản lý đất đai, tài sản gắn liền với công trình, quản lý hồ sơ, sơ đồ phần mộ và thông tin liệt sĩ cũng phát sinh những yêu cầu mới. Sau khi sắp xếp đơn vị hành chính, một số công trình nằm xa trung tâm hành chính của đơn vị mới, địa bàn quản lý rộng hơn, đặt ra yêu cầu phải có cơ chế quản lý, chăm sóc và kiểm tra thường xuyên, phù hợp với điều kiện thực tế của từng địa phương.</w:t>
      </w:r>
    </w:p>
    <w:p w14:paraId="67F04888">
      <w:pPr>
        <w:spacing w:before="120" w:after="80"/>
        <w:ind w:firstLine="567"/>
        <w:jc w:val="both"/>
        <w:rPr>
          <w:sz w:val="28"/>
          <w:szCs w:val="28"/>
          <w:lang w:val="vi-VN"/>
        </w:rPr>
      </w:pPr>
      <w:r>
        <w:rPr>
          <w:sz w:val="28"/>
          <w:szCs w:val="28"/>
          <w:lang w:val="vi-VN"/>
        </w:rPr>
        <w:t xml:space="preserve">Từ những căn cứ pháp lý và yêu cầu thực tiễn nêu trên, việc ban hành Quy chế quản lý các công trình ghi công liệt sĩ, mộ liệt sĩ trên địa bàn tỉnh Hà Tĩnh là cần thiết và phù hợp với quy định của pháp luật hiện hành; đồng thời đáp ứng yêu cầu thực tiễn trong công tác quản lý, bảo vệ, chăm sóc, sửa chữa, tu bổ, cải tạo, nâng cấp và phát huy giá trị các công trình ghi công liệt sĩ trên địa bàn tỉnh. </w:t>
      </w:r>
    </w:p>
    <w:p w14:paraId="081B899D">
      <w:pPr>
        <w:spacing w:before="120" w:after="80"/>
        <w:ind w:firstLine="567"/>
        <w:jc w:val="both"/>
        <w:rPr>
          <w:b/>
          <w:bCs/>
          <w:sz w:val="28"/>
          <w:szCs w:val="28"/>
          <w:lang w:val="vi-VN"/>
        </w:rPr>
      </w:pPr>
      <w:r>
        <w:rPr>
          <w:b/>
          <w:bCs/>
          <w:sz w:val="28"/>
          <w:szCs w:val="28"/>
          <w:lang w:val="vi-VN"/>
        </w:rPr>
        <w:t>II. MỤC ĐÍCH, QUAN ĐIỂM</w:t>
      </w:r>
    </w:p>
    <w:p w14:paraId="237AF759">
      <w:pPr>
        <w:spacing w:before="120" w:after="80"/>
        <w:ind w:firstLine="567"/>
        <w:jc w:val="both"/>
        <w:rPr>
          <w:sz w:val="28"/>
          <w:szCs w:val="28"/>
          <w:lang w:val="vi-VN"/>
        </w:rPr>
      </w:pPr>
      <w:r>
        <w:rPr>
          <w:sz w:val="28"/>
          <w:szCs w:val="28"/>
          <w:lang w:val="vi-VN"/>
        </w:rPr>
        <w:t xml:space="preserve">1. Cụ thể hoá Pháp lệnh ưu đãi Người có công với cách mạng; các Nghị định của Chính phủ: số 131/2021/NĐ-CP ngày 30/12/2021 của Chính phủ về quy định chi tiết và biện pháp thi hành Pháp lệnh ưu đãi người có công với cách mạng; </w:t>
      </w:r>
      <w:r>
        <w:rPr>
          <w:rStyle w:val="7"/>
          <w:i w:val="0"/>
          <w:iCs w:val="0"/>
          <w:color w:val="222222"/>
          <w:sz w:val="28"/>
          <w:szCs w:val="28"/>
          <w:lang w:val="vi-VN"/>
        </w:rPr>
        <w:t>số 128/2025/NĐ-CP ngày 11/6/2025 về quy định về phân quyền, phân cấp quản lý nhà nước trong lĩnh vực nội vụ; số 129/2025/NĐ-CP ngày 11/6/2025 về quy định về phân định thẩm quyền của chính quyền địa phương 02 cấp trong lĩnh vực quản lý nhà nước của Bộ Nội vụ.</w:t>
      </w:r>
    </w:p>
    <w:p w14:paraId="3F6FC45C">
      <w:pPr>
        <w:spacing w:before="120" w:after="80"/>
        <w:ind w:firstLine="567"/>
        <w:jc w:val="both"/>
        <w:rPr>
          <w:sz w:val="28"/>
          <w:szCs w:val="28"/>
        </w:rPr>
      </w:pPr>
      <w:r>
        <w:rPr>
          <w:sz w:val="28"/>
          <w:szCs w:val="28"/>
          <w:lang w:val="vi-VN"/>
        </w:rPr>
        <w:t>2. Xác định rõ trách nhiệm của các cơ quan, đơn vị, địa phương; bảo đảm quản lý thống nhất, đồng bộ, hiệu quả, giữ gìn các công trình luôn khang trang, sạch đẹp, trang nghiêm, xứng đáng với sự hy sinh của các Anh hùng liệt sĩ, đáp ứng nguyện vọng của thân nhân liệt sĩ và Nhân dân, góp phần thực hiện tốt chính sách ưu đãi người có công với cách mạng và đạo lý “Uống nước nhớ nguồn” của dân tộc.</w:t>
      </w:r>
    </w:p>
    <w:p w14:paraId="04CCFF78">
      <w:pPr>
        <w:spacing w:before="120" w:after="80"/>
        <w:ind w:firstLine="567"/>
        <w:jc w:val="both"/>
        <w:rPr>
          <w:b/>
          <w:bCs/>
          <w:sz w:val="28"/>
          <w:szCs w:val="28"/>
          <w:lang w:val="vi-VN"/>
        </w:rPr>
      </w:pPr>
      <w:r>
        <w:rPr>
          <w:b/>
          <w:bCs/>
          <w:sz w:val="28"/>
          <w:szCs w:val="28"/>
        </w:rPr>
        <w:t xml:space="preserve">III. </w:t>
      </w:r>
      <w:r>
        <w:rPr>
          <w:b/>
          <w:bCs/>
          <w:sz w:val="28"/>
          <w:szCs w:val="28"/>
          <w:lang w:val="vi-VN"/>
        </w:rPr>
        <w:t>PHẠM VI, ĐỐI TƯỢNG ÁP DỤNG VÀ NỘI DUNG</w:t>
      </w:r>
    </w:p>
    <w:p w14:paraId="477152E5">
      <w:pPr>
        <w:pStyle w:val="10"/>
        <w:spacing w:before="120" w:beforeAutospacing="0" w:after="80" w:afterAutospacing="0"/>
        <w:ind w:firstLine="567"/>
        <w:jc w:val="both"/>
        <w:rPr>
          <w:color w:val="222222"/>
          <w:sz w:val="28"/>
          <w:szCs w:val="28"/>
          <w:lang w:val="vi-VN"/>
        </w:rPr>
      </w:pPr>
      <w:r>
        <w:rPr>
          <w:color w:val="222222"/>
          <w:sz w:val="28"/>
          <w:szCs w:val="28"/>
          <w:lang w:val="vi-VN"/>
        </w:rPr>
        <w:t>1. Phạm vi điều chỉnh</w:t>
      </w:r>
    </w:p>
    <w:p w14:paraId="618603C8">
      <w:pPr>
        <w:pStyle w:val="10"/>
        <w:spacing w:before="120" w:beforeAutospacing="0" w:after="80" w:afterAutospacing="0"/>
        <w:ind w:firstLine="567"/>
        <w:jc w:val="both"/>
        <w:rPr>
          <w:color w:val="222222"/>
          <w:sz w:val="28"/>
          <w:szCs w:val="28"/>
          <w:lang w:val="vi-VN"/>
        </w:rPr>
      </w:pPr>
      <w:r>
        <w:rPr>
          <w:color w:val="222222"/>
          <w:sz w:val="28"/>
          <w:szCs w:val="28"/>
          <w:lang w:val="vi-VN"/>
        </w:rPr>
        <w:t>Quy chế này quy định việc quản lý các công trình ghi công liệt sĩ, mộ liệt sĩ trên địa bàn tỉnh Hà Tĩnh.</w:t>
      </w:r>
    </w:p>
    <w:p w14:paraId="6D4BF016">
      <w:pPr>
        <w:pStyle w:val="10"/>
        <w:spacing w:before="120" w:beforeAutospacing="0" w:after="80" w:afterAutospacing="0"/>
        <w:ind w:firstLine="567"/>
        <w:jc w:val="both"/>
        <w:rPr>
          <w:color w:val="222222"/>
          <w:sz w:val="28"/>
          <w:szCs w:val="28"/>
          <w:lang w:val="vi-VN"/>
        </w:rPr>
      </w:pPr>
      <w:r>
        <w:rPr>
          <w:color w:val="222222"/>
          <w:sz w:val="28"/>
          <w:szCs w:val="28"/>
          <w:lang w:val="vi-VN"/>
        </w:rPr>
        <w:t>2. Đối tượng áp dụng</w:t>
      </w:r>
    </w:p>
    <w:p w14:paraId="1546736E">
      <w:pPr>
        <w:pStyle w:val="10"/>
        <w:spacing w:before="120" w:beforeAutospacing="0" w:after="80" w:afterAutospacing="0"/>
        <w:ind w:firstLine="567"/>
        <w:jc w:val="both"/>
        <w:rPr>
          <w:color w:val="222222"/>
          <w:sz w:val="28"/>
          <w:szCs w:val="28"/>
          <w:lang w:val="vi-VN"/>
        </w:rPr>
      </w:pPr>
      <w:r>
        <w:rPr>
          <w:color w:val="222222"/>
          <w:sz w:val="28"/>
          <w:szCs w:val="28"/>
          <w:lang w:val="vi-VN"/>
        </w:rPr>
        <w:t xml:space="preserve">- Các sở, ban, ngành, đoàn thể cấp tỉnh; </w:t>
      </w:r>
    </w:p>
    <w:p w14:paraId="4AC70B1E">
      <w:pPr>
        <w:pStyle w:val="10"/>
        <w:spacing w:before="120" w:beforeAutospacing="0" w:after="80" w:afterAutospacing="0"/>
        <w:ind w:firstLine="567"/>
        <w:jc w:val="both"/>
        <w:rPr>
          <w:color w:val="222222"/>
          <w:sz w:val="28"/>
          <w:szCs w:val="28"/>
          <w:lang w:val="vi-VN"/>
        </w:rPr>
      </w:pPr>
      <w:r>
        <w:rPr>
          <w:color w:val="222222"/>
          <w:sz w:val="28"/>
          <w:szCs w:val="28"/>
          <w:lang w:val="vi-VN"/>
        </w:rPr>
        <w:t xml:space="preserve">- Uỷ ban nhân dân các xã, phường (sau đây gọi chung là </w:t>
      </w:r>
      <w:r>
        <w:rPr>
          <w:sz w:val="28"/>
          <w:szCs w:val="28"/>
          <w:lang w:val="vi-VN"/>
        </w:rPr>
        <w:t>Ủy ban nhân dân</w:t>
      </w:r>
      <w:r>
        <w:rPr>
          <w:color w:val="222222"/>
          <w:sz w:val="28"/>
          <w:szCs w:val="28"/>
          <w:lang w:val="vi-VN"/>
        </w:rPr>
        <w:t xml:space="preserve"> cấp xã);</w:t>
      </w:r>
    </w:p>
    <w:p w14:paraId="510254AA">
      <w:pPr>
        <w:pStyle w:val="10"/>
        <w:spacing w:before="120" w:beforeAutospacing="0" w:after="80" w:afterAutospacing="0"/>
        <w:ind w:firstLine="567"/>
        <w:jc w:val="both"/>
        <w:rPr>
          <w:color w:val="222222"/>
          <w:sz w:val="28"/>
          <w:szCs w:val="28"/>
          <w:lang w:val="vi-VN"/>
        </w:rPr>
      </w:pPr>
      <w:r>
        <w:rPr>
          <w:color w:val="222222"/>
          <w:sz w:val="28"/>
          <w:szCs w:val="28"/>
          <w:lang w:val="vi-VN"/>
        </w:rPr>
        <w:t>- Các tổ chức, cá nhân liên quan đến quản lý các công trình ghi công liệt sĩ, mộ liệt sĩ trên địa bàn tỉnh Hà Tĩnh.</w:t>
      </w:r>
    </w:p>
    <w:p w14:paraId="66A37471">
      <w:pPr>
        <w:spacing w:before="120" w:after="80"/>
        <w:ind w:firstLine="567"/>
        <w:jc w:val="both"/>
        <w:rPr>
          <w:b/>
          <w:bCs/>
          <w:sz w:val="28"/>
          <w:szCs w:val="28"/>
          <w:lang w:val="vi-VN"/>
        </w:rPr>
      </w:pPr>
      <w:r>
        <w:rPr>
          <w:b/>
          <w:bCs/>
          <w:sz w:val="28"/>
          <w:szCs w:val="28"/>
          <w:lang w:val="vi-VN"/>
        </w:rPr>
        <w:t>IV. QUÁ TRÌNH XÂY DỰNG DỰ THẢO QUYẾT ĐỊNH</w:t>
      </w:r>
    </w:p>
    <w:p w14:paraId="04FC9BD4">
      <w:pPr>
        <w:spacing w:before="120" w:after="80"/>
        <w:ind w:firstLine="567"/>
        <w:jc w:val="both"/>
        <w:rPr>
          <w:color w:val="222222"/>
          <w:sz w:val="28"/>
          <w:szCs w:val="28"/>
        </w:rPr>
      </w:pPr>
      <w:r>
        <w:rPr>
          <w:sz w:val="28"/>
          <w:szCs w:val="28"/>
        </w:rPr>
        <w:t xml:space="preserve">1. Sở Nội vụ ban hành Văn bản đăng ký xây dựng Quyết định của UBND tỉnh về ban hành </w:t>
      </w:r>
      <w:r>
        <w:rPr>
          <w:color w:val="222222"/>
          <w:sz w:val="28"/>
          <w:szCs w:val="28"/>
          <w:lang w:val="vi-VN"/>
        </w:rPr>
        <w:t>Quy chế này quy định việc quản lý công trình ghi công liệt sĩ, mộ liệt sĩ trên địa bàn tỉnh Hà Tĩnh</w:t>
      </w:r>
      <w:r>
        <w:rPr>
          <w:color w:val="222222"/>
          <w:sz w:val="28"/>
          <w:szCs w:val="28"/>
        </w:rPr>
        <w:t>, lấy ý kiến Sở Tư pháp.</w:t>
      </w:r>
    </w:p>
    <w:p w14:paraId="2C6396A2">
      <w:pPr>
        <w:spacing w:before="120" w:after="80"/>
        <w:ind w:firstLine="567"/>
        <w:jc w:val="both"/>
        <w:rPr>
          <w:sz w:val="28"/>
          <w:szCs w:val="28"/>
        </w:rPr>
      </w:pPr>
      <w:r>
        <w:rPr>
          <w:sz w:val="28"/>
          <w:szCs w:val="28"/>
        </w:rPr>
        <w:t>2. Tiếp thu ý kiến của Sở Tư pháp, Sở Nội vụ ban hành Tờ trình số 305/TTr-SNV ngày 09/10/2026 xin chủ trương của UBND tỉnh, Chủ tịch UBND tỉnh về xây dựng văn bản quy phạm pháp luật.</w:t>
      </w:r>
    </w:p>
    <w:p w14:paraId="71CB3730">
      <w:pPr>
        <w:spacing w:before="120" w:after="80"/>
        <w:ind w:firstLine="567"/>
        <w:jc w:val="both"/>
        <w:rPr>
          <w:sz w:val="28"/>
          <w:szCs w:val="28"/>
        </w:rPr>
      </w:pPr>
      <w:r>
        <w:rPr>
          <w:sz w:val="28"/>
          <w:szCs w:val="28"/>
        </w:rPr>
        <w:t>3. UBND tỉnh có Văn bản số số 10426/UBND-VX</w:t>
      </w:r>
      <w:r>
        <w:rPr>
          <w:sz w:val="28"/>
          <w:szCs w:val="28"/>
          <w:vertAlign w:val="subscript"/>
        </w:rPr>
        <w:t xml:space="preserve">2 </w:t>
      </w:r>
      <w:r>
        <w:rPr>
          <w:sz w:val="28"/>
          <w:szCs w:val="28"/>
        </w:rPr>
        <w:t>ngày 12/10/2026 về đồng ý chủ trương xây dựng văn bản quy phạm pháp luật.</w:t>
      </w:r>
    </w:p>
    <w:p w14:paraId="30BFFB68">
      <w:pPr>
        <w:spacing w:before="120" w:after="80"/>
        <w:ind w:firstLine="567"/>
        <w:jc w:val="both"/>
        <w:rPr>
          <w:sz w:val="28"/>
          <w:szCs w:val="28"/>
        </w:rPr>
      </w:pPr>
      <w:r>
        <w:rPr>
          <w:sz w:val="28"/>
          <w:szCs w:val="28"/>
        </w:rPr>
        <w:t>4. Sở Nội vụ xây dựng dự thảo Tờ trình, dự thảo Quyết định của UBND lấy ý kiến góp ý của các sở, ngành, đoàn thể cấp tỉnh; đăng tải đăng tải trên Cổng Thông tin điện tử tỉnh theo quy định; tổng hợp ý kiến, tiếp thu, giải trình, hoàn thiện hồ sơ gửi Sở Tư pháp thẩm định.</w:t>
      </w:r>
    </w:p>
    <w:p w14:paraId="3530977E">
      <w:pPr>
        <w:spacing w:before="120" w:after="80"/>
        <w:ind w:firstLine="567"/>
        <w:jc w:val="both"/>
        <w:rPr>
          <w:sz w:val="28"/>
          <w:szCs w:val="28"/>
        </w:rPr>
      </w:pPr>
      <w:r>
        <w:rPr>
          <w:sz w:val="28"/>
          <w:szCs w:val="28"/>
        </w:rPr>
        <w:t>5. Tiếp thu các nội dung Báo cáo thẩm định của Sở Tư pháp, Sở Nội vụ tổng hợp, giải trình và hoàn thiện dự thảo Quyết định trình UBND tỉnh.</w:t>
      </w:r>
    </w:p>
    <w:p w14:paraId="26783FC0">
      <w:pPr>
        <w:spacing w:before="120" w:after="80"/>
        <w:ind w:firstLine="567"/>
        <w:jc w:val="both"/>
        <w:rPr>
          <w:b/>
          <w:bCs/>
          <w:sz w:val="28"/>
          <w:szCs w:val="28"/>
        </w:rPr>
      </w:pPr>
      <w:r>
        <w:rPr>
          <w:b/>
          <w:bCs/>
          <w:sz w:val="28"/>
          <w:szCs w:val="28"/>
        </w:rPr>
        <w:t>V. BỐ CỤC VÀ NỘI DUNG CỦA DỰ THẢO QUYẾT ĐỊNH</w:t>
      </w:r>
    </w:p>
    <w:p w14:paraId="22FC53F1">
      <w:pPr>
        <w:spacing w:before="120" w:after="80"/>
        <w:ind w:firstLine="567"/>
        <w:jc w:val="both"/>
        <w:rPr>
          <w:sz w:val="28"/>
          <w:szCs w:val="28"/>
        </w:rPr>
      </w:pPr>
      <w:r>
        <w:rPr>
          <w:sz w:val="28"/>
          <w:szCs w:val="28"/>
        </w:rPr>
        <w:t>1. Bố cục: Dự thảo quyết định có 03 Điều.</w:t>
      </w:r>
    </w:p>
    <w:p w14:paraId="55BB0083">
      <w:pPr>
        <w:spacing w:before="120" w:after="80"/>
        <w:ind w:firstLine="567"/>
        <w:jc w:val="both"/>
        <w:rPr>
          <w:sz w:val="28"/>
          <w:szCs w:val="28"/>
        </w:rPr>
      </w:pPr>
      <w:r>
        <w:rPr>
          <w:sz w:val="28"/>
          <w:szCs w:val="28"/>
        </w:rPr>
        <w:t>Điều 1: Nội dung của Quyết định kèm theo Quy chế gồm: 03 Chương, 11 Điều.</w:t>
      </w:r>
    </w:p>
    <w:p w14:paraId="6352680E">
      <w:pPr>
        <w:spacing w:before="120" w:after="80"/>
        <w:ind w:firstLine="567"/>
        <w:jc w:val="both"/>
        <w:rPr>
          <w:sz w:val="28"/>
          <w:szCs w:val="28"/>
        </w:rPr>
      </w:pPr>
      <w:r>
        <w:rPr>
          <w:sz w:val="28"/>
          <w:szCs w:val="28"/>
        </w:rPr>
        <w:t>Điều 2: Thời gian quyết định có hiệu lực .</w:t>
      </w:r>
    </w:p>
    <w:p w14:paraId="3A80CF82">
      <w:pPr>
        <w:spacing w:before="120" w:after="80"/>
        <w:ind w:firstLine="567"/>
        <w:jc w:val="both"/>
        <w:rPr>
          <w:sz w:val="28"/>
          <w:szCs w:val="28"/>
        </w:rPr>
      </w:pPr>
      <w:r>
        <w:rPr>
          <w:sz w:val="28"/>
          <w:szCs w:val="28"/>
        </w:rPr>
        <w:t>Điều 3: Trách nhiệm thi hành quyết định.</w:t>
      </w:r>
    </w:p>
    <w:p w14:paraId="196F7E90">
      <w:pPr>
        <w:spacing w:before="120" w:after="80"/>
        <w:ind w:firstLine="567"/>
        <w:jc w:val="both"/>
        <w:rPr>
          <w:sz w:val="28"/>
          <w:szCs w:val="28"/>
        </w:rPr>
      </w:pPr>
      <w:r>
        <w:rPr>
          <w:sz w:val="28"/>
          <w:szCs w:val="28"/>
        </w:rPr>
        <w:t>2</w:t>
      </w:r>
      <w:r>
        <w:rPr>
          <w:sz w:val="28"/>
          <w:szCs w:val="28"/>
          <w:lang w:val="vi-VN"/>
        </w:rPr>
        <w:t>. Nội dung</w:t>
      </w:r>
      <w:r>
        <w:rPr>
          <w:sz w:val="28"/>
          <w:szCs w:val="28"/>
        </w:rPr>
        <w:t xml:space="preserve"> cơ bản của Quyết định</w:t>
      </w:r>
    </w:p>
    <w:p w14:paraId="325C8FA4">
      <w:pPr>
        <w:spacing w:before="120" w:after="80"/>
        <w:ind w:firstLine="567"/>
        <w:jc w:val="both"/>
        <w:rPr>
          <w:color w:val="222222"/>
          <w:sz w:val="28"/>
          <w:szCs w:val="28"/>
        </w:rPr>
      </w:pPr>
      <w:r>
        <w:rPr>
          <w:color w:val="222222"/>
          <w:sz w:val="28"/>
          <w:szCs w:val="28"/>
        </w:rPr>
        <w:t>Quy định về c</w:t>
      </w:r>
      <w:r>
        <w:rPr>
          <w:color w:val="222222"/>
          <w:sz w:val="28"/>
          <w:szCs w:val="28"/>
          <w:lang w:val="vi-VN"/>
        </w:rPr>
        <w:t xml:space="preserve">ông tác quản lý công trình ghi công liệt sĩ, mộ liệt sĩ trên địa bàn tỉnh Hà Tĩnh: (1) Thẩm quyền, trách nhiệm của Sở Nội vụ trong quản lý nhà nước đối với các công trình ghi công liệt sĩ, mộ liệt sĩ; (2) Thẩm quyền, trách nhiệm của </w:t>
      </w:r>
      <w:r>
        <w:rPr>
          <w:sz w:val="28"/>
          <w:szCs w:val="28"/>
          <w:lang w:val="vi-VN"/>
        </w:rPr>
        <w:t xml:space="preserve">Ủy ban nhân dân </w:t>
      </w:r>
      <w:r>
        <w:rPr>
          <w:color w:val="222222"/>
          <w:sz w:val="28"/>
          <w:szCs w:val="28"/>
          <w:lang w:val="vi-VN"/>
        </w:rPr>
        <w:t>cấp xã trong quản lý các công trình ghi công liệt sĩ, mộ liệt sĩ; (3) Trách nhiệm của các sở, ngành, đoàn thể liên quan và các tổ chức cá nhân trong việc quản lý, sử dụng các công trình ghi công liệt sĩ trên địa bàn tỉnh Hà Tĩnh.</w:t>
      </w:r>
    </w:p>
    <w:p w14:paraId="2F8D0A99">
      <w:pPr>
        <w:spacing w:before="120" w:after="80"/>
        <w:ind w:firstLine="567"/>
        <w:jc w:val="both"/>
        <w:rPr>
          <w:b/>
          <w:bCs/>
          <w:sz w:val="28"/>
          <w:szCs w:val="28"/>
        </w:rPr>
      </w:pPr>
      <w:r>
        <w:rPr>
          <w:b/>
          <w:bCs/>
          <w:sz w:val="28"/>
          <w:szCs w:val="28"/>
        </w:rPr>
        <w:t>VI. DỰ KIẾN NGUỒN LỰC, ĐIỀU KIỆN BẢO ĐẢM CHO VIỆC THI HÀNH VĂN BẢN: KHÔNG.</w:t>
      </w:r>
    </w:p>
    <w:p w14:paraId="20157D5B">
      <w:pPr>
        <w:spacing w:before="120" w:after="80"/>
        <w:ind w:firstLine="567"/>
        <w:jc w:val="both"/>
        <w:rPr>
          <w:b/>
          <w:bCs/>
          <w:sz w:val="28"/>
          <w:szCs w:val="28"/>
        </w:rPr>
      </w:pPr>
      <w:r>
        <w:rPr>
          <w:b/>
          <w:bCs/>
          <w:sz w:val="28"/>
          <w:szCs w:val="28"/>
        </w:rPr>
        <w:t>VII. NHỮNG VẤN ĐỀ XIN Ý KIẾN: KHÔNG</w:t>
      </w:r>
    </w:p>
    <w:p w14:paraId="35BBDCD9">
      <w:pPr>
        <w:spacing w:before="120" w:after="80"/>
        <w:ind w:firstLine="567"/>
        <w:jc w:val="both"/>
        <w:rPr>
          <w:sz w:val="28"/>
          <w:szCs w:val="28"/>
        </w:rPr>
      </w:pPr>
      <w:r>
        <w:rPr>
          <w:sz w:val="28"/>
          <w:szCs w:val="28"/>
        </w:rPr>
        <w:t xml:space="preserve">Trên đây là Tờ trình đề nghị ban hành Quyết định về việc ban hành Quy chế quản lý công trình ghi công liệt sĩ, mộ liệt sĩ trên địa bàn tỉnh Hà Tĩnh, Sở </w:t>
      </w:r>
      <w:r>
        <w:rPr>
          <w:sz w:val="28"/>
          <w:szCs w:val="28"/>
          <w:lang w:val="vi-VN"/>
        </w:rPr>
        <w:t>Nội vụ kính trình Ủy ban nhân dân tỉnh</w:t>
      </w:r>
      <w:r>
        <w:rPr>
          <w:sz w:val="28"/>
          <w:szCs w:val="28"/>
        </w:rPr>
        <w:t xml:space="preserve"> </w:t>
      </w:r>
      <w:r>
        <w:rPr>
          <w:sz w:val="28"/>
          <w:szCs w:val="28"/>
          <w:lang w:val="vi-VN"/>
        </w:rPr>
        <w:t>xem xét, quyết định.</w:t>
      </w:r>
    </w:p>
    <w:p w14:paraId="6F7D383A">
      <w:pPr>
        <w:spacing w:before="120" w:after="80"/>
        <w:ind w:firstLine="567"/>
        <w:jc w:val="both"/>
        <w:rPr>
          <w:i/>
          <w:iCs/>
          <w:sz w:val="28"/>
          <w:szCs w:val="28"/>
        </w:rPr>
      </w:pPr>
      <w:r>
        <w:rPr>
          <w:i/>
          <w:iCs/>
          <w:sz w:val="28"/>
          <w:szCs w:val="28"/>
        </w:rPr>
        <w:t>(Gửi kèm theo dự thảo Quyết định; báo cáo tổng hợp ý kiến góp ý của các sở, ngành, đoàn thể cấp tỉnh; Báo cáo thẩm định của Sở Tư pháp)./.</w:t>
      </w:r>
    </w:p>
    <w:tbl>
      <w:tblPr>
        <w:tblStyle w:val="5"/>
        <w:tblW w:w="9529" w:type="dxa"/>
        <w:tblInd w:w="-34" w:type="dxa"/>
        <w:tblLayout w:type="fixed"/>
        <w:tblCellMar>
          <w:top w:w="0" w:type="dxa"/>
          <w:left w:w="108" w:type="dxa"/>
          <w:bottom w:w="0" w:type="dxa"/>
          <w:right w:w="108" w:type="dxa"/>
        </w:tblCellMar>
      </w:tblPr>
      <w:tblGrid>
        <w:gridCol w:w="4111"/>
        <w:gridCol w:w="5418"/>
      </w:tblGrid>
      <w:tr w14:paraId="212446A9">
        <w:tblPrEx>
          <w:tblCellMar>
            <w:top w:w="0" w:type="dxa"/>
            <w:left w:w="108" w:type="dxa"/>
            <w:bottom w:w="0" w:type="dxa"/>
            <w:right w:w="108" w:type="dxa"/>
          </w:tblCellMar>
        </w:tblPrEx>
        <w:trPr>
          <w:trHeight w:val="2810" w:hRule="atLeast"/>
        </w:trPr>
        <w:tc>
          <w:tcPr>
            <w:tcW w:w="4111" w:type="dxa"/>
          </w:tcPr>
          <w:p w14:paraId="03144C79">
            <w:pPr>
              <w:rPr>
                <w:b/>
                <w:i/>
                <w:lang w:val="vi-VN"/>
              </w:rPr>
            </w:pPr>
          </w:p>
          <w:p w14:paraId="3CC6770E">
            <w:pPr>
              <w:rPr>
                <w:b/>
                <w:i/>
                <w:lang w:val="vi-VN"/>
              </w:rPr>
            </w:pPr>
            <w:r>
              <w:rPr>
                <w:b/>
                <w:i/>
                <w:lang w:val="vi-VN"/>
              </w:rPr>
              <w:t>N</w:t>
            </w:r>
            <w:r>
              <w:rPr>
                <w:rFonts w:hint="eastAsia"/>
                <w:b/>
                <w:i/>
                <w:lang w:val="vi-VN"/>
              </w:rPr>
              <w:t>ơ</w:t>
            </w:r>
            <w:r>
              <w:rPr>
                <w:b/>
                <w:i/>
                <w:lang w:val="vi-VN"/>
              </w:rPr>
              <w:t>i nhận:</w:t>
            </w:r>
          </w:p>
          <w:p w14:paraId="24D2174D">
            <w:pPr>
              <w:spacing w:line="260" w:lineRule="exact"/>
              <w:ind w:left="394" w:hanging="394"/>
              <w:rPr>
                <w:sz w:val="22"/>
                <w:lang w:val="vi-VN"/>
              </w:rPr>
            </w:pPr>
            <w:r>
              <w:rPr>
                <w:sz w:val="22"/>
                <w:lang w:val="vi-VN"/>
              </w:rPr>
              <w:t>- Như trên;</w:t>
            </w:r>
          </w:p>
          <w:p w14:paraId="149B3181">
            <w:pPr>
              <w:spacing w:line="260" w:lineRule="exact"/>
              <w:ind w:left="394" w:hanging="394"/>
              <w:rPr>
                <w:sz w:val="22"/>
              </w:rPr>
            </w:pPr>
            <w:r>
              <w:rPr>
                <w:sz w:val="22"/>
                <w:lang w:val="vi-VN"/>
              </w:rPr>
              <w:t>- Các sở, ngành, đoàn thể cấp tỉnh;</w:t>
            </w:r>
          </w:p>
          <w:p w14:paraId="2F3BBDF7">
            <w:pPr>
              <w:spacing w:line="260" w:lineRule="exact"/>
              <w:ind w:left="394" w:hanging="394"/>
              <w:rPr>
                <w:sz w:val="22"/>
              </w:rPr>
            </w:pPr>
            <w:r>
              <w:rPr>
                <w:sz w:val="22"/>
              </w:rPr>
              <w:t>- UBND các xã, phường;</w:t>
            </w:r>
          </w:p>
          <w:p w14:paraId="3BF72246">
            <w:pPr>
              <w:spacing w:line="260" w:lineRule="exact"/>
              <w:rPr>
                <w:sz w:val="22"/>
                <w:lang w:val="vi-VN"/>
              </w:rPr>
            </w:pPr>
            <w:r>
              <w:rPr>
                <w:sz w:val="22"/>
                <w:lang w:val="vi-VN"/>
              </w:rPr>
              <w:t>- Giám đốc, các PGĐ Sở;</w:t>
            </w:r>
          </w:p>
          <w:p w14:paraId="12EAA86E">
            <w:pPr>
              <w:spacing w:line="260" w:lineRule="exact"/>
              <w:rPr>
                <w:sz w:val="22"/>
              </w:rPr>
            </w:pPr>
            <w:r>
              <w:rPr>
                <w:sz w:val="22"/>
              </w:rPr>
              <w:t>- L</w:t>
            </w:r>
            <w:r>
              <w:rPr>
                <w:rFonts w:hint="eastAsia"/>
                <w:sz w:val="22"/>
              </w:rPr>
              <w:t>ư</w:t>
            </w:r>
            <w:r>
              <w:rPr>
                <w:sz w:val="22"/>
              </w:rPr>
              <w:t>u: VT,</w:t>
            </w:r>
            <w:r>
              <w:rPr>
                <w:sz w:val="22"/>
                <w:lang w:val="vi-VN"/>
              </w:rPr>
              <w:t xml:space="preserve"> NCC</w:t>
            </w:r>
            <w:r>
              <w:rPr>
                <w:sz w:val="22"/>
              </w:rPr>
              <w:t>.</w:t>
            </w:r>
          </w:p>
          <w:p w14:paraId="4F4C4500">
            <w:pPr>
              <w:spacing w:line="260" w:lineRule="exact"/>
              <w:rPr>
                <w:sz w:val="22"/>
              </w:rPr>
            </w:pPr>
          </w:p>
        </w:tc>
        <w:tc>
          <w:tcPr>
            <w:tcW w:w="5418" w:type="dxa"/>
          </w:tcPr>
          <w:p w14:paraId="3BFFDDF4">
            <w:pPr>
              <w:jc w:val="center"/>
              <w:rPr>
                <w:b/>
                <w:sz w:val="26"/>
                <w:szCs w:val="28"/>
              </w:rPr>
            </w:pPr>
          </w:p>
          <w:p w14:paraId="61F2A205">
            <w:pPr>
              <w:jc w:val="center"/>
              <w:rPr>
                <w:b/>
                <w:sz w:val="26"/>
                <w:szCs w:val="28"/>
              </w:rPr>
            </w:pPr>
            <w:r>
              <w:rPr>
                <w:b/>
                <w:sz w:val="26"/>
                <w:szCs w:val="28"/>
              </w:rPr>
              <w:t>KT. GIÁM ĐỐC</w:t>
            </w:r>
          </w:p>
          <w:p w14:paraId="343E857D">
            <w:pPr>
              <w:jc w:val="center"/>
              <w:rPr>
                <w:b/>
                <w:sz w:val="26"/>
                <w:szCs w:val="28"/>
              </w:rPr>
            </w:pPr>
            <w:r>
              <w:rPr>
                <w:b/>
                <w:sz w:val="26"/>
                <w:szCs w:val="28"/>
              </w:rPr>
              <w:t>PHÓ GIÁM ĐỐC</w:t>
            </w:r>
          </w:p>
          <w:p w14:paraId="5D93E6EC">
            <w:pPr>
              <w:spacing w:before="120"/>
              <w:jc w:val="center"/>
              <w:rPr>
                <w:b/>
                <w:sz w:val="26"/>
                <w:szCs w:val="28"/>
              </w:rPr>
            </w:pPr>
          </w:p>
          <w:p w14:paraId="0E0ED5C3">
            <w:pPr>
              <w:spacing w:before="120"/>
              <w:jc w:val="center"/>
              <w:rPr>
                <w:b/>
                <w:sz w:val="26"/>
                <w:szCs w:val="28"/>
              </w:rPr>
            </w:pPr>
          </w:p>
          <w:p w14:paraId="6A2B4E23">
            <w:pPr>
              <w:spacing w:before="120"/>
              <w:jc w:val="center"/>
              <w:rPr>
                <w:b/>
                <w:sz w:val="26"/>
                <w:szCs w:val="28"/>
              </w:rPr>
            </w:pPr>
          </w:p>
          <w:p w14:paraId="1A618CAD">
            <w:pPr>
              <w:spacing w:before="120"/>
              <w:jc w:val="center"/>
              <w:rPr>
                <w:b/>
                <w:sz w:val="26"/>
                <w:szCs w:val="28"/>
              </w:rPr>
            </w:pPr>
          </w:p>
          <w:p w14:paraId="2B5E9B45">
            <w:pPr>
              <w:spacing w:before="120"/>
              <w:jc w:val="center"/>
              <w:rPr>
                <w:b/>
                <w:sz w:val="28"/>
                <w:szCs w:val="30"/>
              </w:rPr>
            </w:pPr>
            <w:r>
              <w:rPr>
                <w:b/>
                <w:sz w:val="28"/>
                <w:szCs w:val="30"/>
              </w:rPr>
              <w:t>Đặng Văn Dũng</w:t>
            </w:r>
          </w:p>
          <w:p w14:paraId="67777869">
            <w:pPr>
              <w:jc w:val="center"/>
              <w:rPr>
                <w:b/>
                <w:szCs w:val="28"/>
              </w:rPr>
            </w:pPr>
            <w:r>
              <w:rPr>
                <w:b/>
                <w:sz w:val="28"/>
                <w:szCs w:val="28"/>
              </w:rPr>
              <w:t xml:space="preserve">                 </w:t>
            </w:r>
          </w:p>
          <w:p w14:paraId="6D5345E2">
            <w:pPr>
              <w:jc w:val="center"/>
              <w:rPr>
                <w:b/>
                <w:szCs w:val="28"/>
              </w:rPr>
            </w:pPr>
            <w:r>
              <w:rPr>
                <w:b/>
                <w:sz w:val="28"/>
                <w:szCs w:val="28"/>
              </w:rPr>
              <w:t xml:space="preserve"> </w:t>
            </w:r>
          </w:p>
          <w:p w14:paraId="2EACE4F7">
            <w:pPr>
              <w:jc w:val="center"/>
              <w:rPr>
                <w:b/>
                <w:szCs w:val="28"/>
              </w:rPr>
            </w:pPr>
          </w:p>
          <w:p w14:paraId="39D8A6EE">
            <w:pPr>
              <w:jc w:val="center"/>
              <w:rPr>
                <w:b/>
                <w:szCs w:val="28"/>
              </w:rPr>
            </w:pPr>
          </w:p>
          <w:p w14:paraId="4788D213">
            <w:pPr>
              <w:spacing w:line="320" w:lineRule="exact"/>
              <w:rPr>
                <w:b/>
                <w:szCs w:val="28"/>
              </w:rPr>
            </w:pPr>
          </w:p>
          <w:p w14:paraId="66F00608">
            <w:pPr>
              <w:spacing w:line="320" w:lineRule="exact"/>
              <w:jc w:val="center"/>
              <w:rPr>
                <w:b/>
                <w:szCs w:val="28"/>
              </w:rPr>
            </w:pPr>
          </w:p>
        </w:tc>
      </w:tr>
    </w:tbl>
    <w:p w14:paraId="07B78E80"/>
    <w:sectPr>
      <w:headerReference r:id="rId3" w:type="default"/>
      <w:pgSz w:w="11907" w:h="16840"/>
      <w:pgMar w:top="1134" w:right="1134" w:bottom="1134" w:left="1701"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7209476"/>
      <w:docPartObj>
        <w:docPartGallery w:val="AutoText"/>
      </w:docPartObj>
    </w:sdtPr>
    <w:sdtContent>
      <w:p w14:paraId="72BF3FBC">
        <w:pPr>
          <w:pStyle w:val="9"/>
          <w:jc w:val="center"/>
        </w:pPr>
        <w:r>
          <w:fldChar w:fldCharType="begin"/>
        </w:r>
        <w:r>
          <w:instrText xml:space="preserve"> PAGE   \* MERGEFORMAT </w:instrText>
        </w:r>
        <w:r>
          <w:fldChar w:fldCharType="separate"/>
        </w:r>
        <w:r>
          <w:t>3</w:t>
        </w:r>
        <w:r>
          <w:fldChar w:fldCharType="end"/>
        </w:r>
      </w:p>
    </w:sdtContent>
  </w:sdt>
  <w:p w14:paraId="2DFCF4AD">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EF2"/>
    <w:rsid w:val="000A381C"/>
    <w:rsid w:val="001B3D4A"/>
    <w:rsid w:val="00236635"/>
    <w:rsid w:val="002A7241"/>
    <w:rsid w:val="002C7822"/>
    <w:rsid w:val="002D6A97"/>
    <w:rsid w:val="003637B9"/>
    <w:rsid w:val="003830C9"/>
    <w:rsid w:val="003923BA"/>
    <w:rsid w:val="003C5FE6"/>
    <w:rsid w:val="004127E8"/>
    <w:rsid w:val="0043484B"/>
    <w:rsid w:val="0046298B"/>
    <w:rsid w:val="00470557"/>
    <w:rsid w:val="004717E2"/>
    <w:rsid w:val="00475D1A"/>
    <w:rsid w:val="004C7690"/>
    <w:rsid w:val="00542EF2"/>
    <w:rsid w:val="00571BAB"/>
    <w:rsid w:val="005A4C57"/>
    <w:rsid w:val="00617F58"/>
    <w:rsid w:val="006332E8"/>
    <w:rsid w:val="00640A92"/>
    <w:rsid w:val="00680937"/>
    <w:rsid w:val="006A664B"/>
    <w:rsid w:val="006B2A18"/>
    <w:rsid w:val="006C70D6"/>
    <w:rsid w:val="006D741B"/>
    <w:rsid w:val="006E4C4D"/>
    <w:rsid w:val="007012B0"/>
    <w:rsid w:val="007063FF"/>
    <w:rsid w:val="00717C61"/>
    <w:rsid w:val="00774F2A"/>
    <w:rsid w:val="00791914"/>
    <w:rsid w:val="00800047"/>
    <w:rsid w:val="00843745"/>
    <w:rsid w:val="00873DDB"/>
    <w:rsid w:val="0088357E"/>
    <w:rsid w:val="00955CF4"/>
    <w:rsid w:val="00962BDE"/>
    <w:rsid w:val="00981FFE"/>
    <w:rsid w:val="009C0713"/>
    <w:rsid w:val="009C2BBD"/>
    <w:rsid w:val="00A32FD8"/>
    <w:rsid w:val="00A3718C"/>
    <w:rsid w:val="00AD1491"/>
    <w:rsid w:val="00AD40A5"/>
    <w:rsid w:val="00B50336"/>
    <w:rsid w:val="00B71407"/>
    <w:rsid w:val="00BA0917"/>
    <w:rsid w:val="00BB7C11"/>
    <w:rsid w:val="00BF2FBB"/>
    <w:rsid w:val="00BF337F"/>
    <w:rsid w:val="00CC1CA5"/>
    <w:rsid w:val="00DC235D"/>
    <w:rsid w:val="00E313AC"/>
    <w:rsid w:val="00E572FE"/>
    <w:rsid w:val="00F363EC"/>
    <w:rsid w:val="00F60D18"/>
    <w:rsid w:val="00F7416E"/>
    <w:rsid w:val="00FF4C63"/>
    <w:rsid w:val="35CC421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3"/>
    <w:basedOn w:val="1"/>
    <w:next w:val="1"/>
    <w:link w:val="12"/>
    <w:qFormat/>
    <w:uiPriority w:val="0"/>
    <w:pPr>
      <w:keepNext/>
      <w:outlineLvl w:val="2"/>
    </w:pPr>
    <w:rPr>
      <w:b/>
      <w:sz w:val="26"/>
    </w:rPr>
  </w:style>
  <w:style w:type="paragraph" w:styleId="3">
    <w:name w:val="heading 4"/>
    <w:basedOn w:val="1"/>
    <w:next w:val="1"/>
    <w:link w:val="16"/>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4">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4"/>
    <w:semiHidden/>
    <w:unhideWhenUsed/>
    <w:qFormat/>
    <w:uiPriority w:val="99"/>
    <w:rPr>
      <w:rFonts w:ascii="Segoe UI" w:hAnsi="Segoe UI" w:cs="Segoe UI"/>
      <w:sz w:val="18"/>
      <w:szCs w:val="18"/>
    </w:rPr>
  </w:style>
  <w:style w:type="character" w:styleId="7">
    <w:name w:val="Emphasis"/>
    <w:basedOn w:val="4"/>
    <w:qFormat/>
    <w:uiPriority w:val="20"/>
    <w:rPr>
      <w:i/>
      <w:iCs/>
    </w:rPr>
  </w:style>
  <w:style w:type="paragraph" w:styleId="8">
    <w:name w:val="footer"/>
    <w:basedOn w:val="1"/>
    <w:link w:val="18"/>
    <w:unhideWhenUsed/>
    <w:uiPriority w:val="99"/>
    <w:pPr>
      <w:tabs>
        <w:tab w:val="center" w:pos="4680"/>
        <w:tab w:val="right" w:pos="9360"/>
      </w:tabs>
    </w:pPr>
  </w:style>
  <w:style w:type="paragraph" w:styleId="9">
    <w:name w:val="header"/>
    <w:basedOn w:val="1"/>
    <w:link w:val="17"/>
    <w:unhideWhenUsed/>
    <w:qFormat/>
    <w:uiPriority w:val="99"/>
    <w:pPr>
      <w:tabs>
        <w:tab w:val="center" w:pos="4680"/>
        <w:tab w:val="right" w:pos="9360"/>
      </w:tabs>
    </w:pPr>
  </w:style>
  <w:style w:type="paragraph" w:styleId="10">
    <w:name w:val="Normal (Web)"/>
    <w:basedOn w:val="1"/>
    <w:unhideWhenUsed/>
    <w:uiPriority w:val="99"/>
    <w:pPr>
      <w:spacing w:before="100" w:beforeAutospacing="1" w:after="100" w:afterAutospacing="1"/>
    </w:pPr>
    <w:rPr>
      <w:lang w:val="en-CA" w:eastAsia="en-CA"/>
    </w:rPr>
  </w:style>
  <w:style w:type="table" w:styleId="11">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2">
    <w:name w:val="Heading 3 Char"/>
    <w:basedOn w:val="4"/>
    <w:link w:val="2"/>
    <w:uiPriority w:val="0"/>
    <w:rPr>
      <w:rFonts w:eastAsia="Times New Roman" w:cs="Times New Roman"/>
      <w:b/>
      <w:sz w:val="26"/>
      <w:szCs w:val="24"/>
    </w:rPr>
  </w:style>
  <w:style w:type="paragraph" w:styleId="13">
    <w:name w:val="List Paragraph"/>
    <w:basedOn w:val="1"/>
    <w:qFormat/>
    <w:uiPriority w:val="34"/>
    <w:pPr>
      <w:ind w:left="720"/>
      <w:contextualSpacing/>
    </w:pPr>
  </w:style>
  <w:style w:type="character" w:customStyle="1" w:styleId="14">
    <w:name w:val="Balloon Text Char"/>
    <w:basedOn w:val="4"/>
    <w:link w:val="6"/>
    <w:semiHidden/>
    <w:qFormat/>
    <w:uiPriority w:val="99"/>
    <w:rPr>
      <w:rFonts w:ascii="Segoe UI" w:hAnsi="Segoe UI" w:eastAsia="Times New Roman" w:cs="Segoe UI"/>
      <w:sz w:val="18"/>
      <w:szCs w:val="18"/>
    </w:rPr>
  </w:style>
  <w:style w:type="character" w:customStyle="1" w:styleId="15">
    <w:name w:val="fontstyle01"/>
    <w:basedOn w:val="4"/>
    <w:qFormat/>
    <w:uiPriority w:val="0"/>
    <w:rPr>
      <w:rFonts w:hint="default" w:ascii="Times New Roman" w:hAnsi="Times New Roman" w:cs="Times New Roman"/>
      <w:color w:val="000000"/>
      <w:sz w:val="24"/>
      <w:szCs w:val="24"/>
    </w:rPr>
  </w:style>
  <w:style w:type="character" w:customStyle="1" w:styleId="16">
    <w:name w:val="Heading 4 Char"/>
    <w:basedOn w:val="4"/>
    <w:link w:val="3"/>
    <w:semiHidden/>
    <w:qFormat/>
    <w:uiPriority w:val="9"/>
    <w:rPr>
      <w:rFonts w:asciiTheme="majorHAnsi" w:hAnsiTheme="majorHAnsi" w:eastAsiaTheme="majorEastAsia" w:cstheme="majorBidi"/>
      <w:b/>
      <w:bCs/>
      <w:i/>
      <w:iCs/>
      <w:color w:val="4F81BD" w:themeColor="accent1"/>
      <w:sz w:val="24"/>
      <w:szCs w:val="24"/>
      <w14:textFill>
        <w14:solidFill>
          <w14:schemeClr w14:val="accent1"/>
        </w14:solidFill>
      </w14:textFill>
    </w:rPr>
  </w:style>
  <w:style w:type="character" w:customStyle="1" w:styleId="17">
    <w:name w:val="Header Char"/>
    <w:basedOn w:val="4"/>
    <w:link w:val="9"/>
    <w:qFormat/>
    <w:uiPriority w:val="99"/>
    <w:rPr>
      <w:rFonts w:eastAsia="Times New Roman" w:cs="Times New Roman"/>
      <w:sz w:val="24"/>
      <w:szCs w:val="24"/>
    </w:rPr>
  </w:style>
  <w:style w:type="character" w:customStyle="1" w:styleId="18">
    <w:name w:val="Footer Char"/>
    <w:basedOn w:val="4"/>
    <w:link w:val="8"/>
    <w:qFormat/>
    <w:uiPriority w:val="99"/>
    <w:rPr>
      <w:rFonts w:eastAsia="Times New Roman" w:cs="Times New Roman"/>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917D45-E1C8-44FD-86BE-441E1F087420}">
  <ds:schemaRefs/>
</ds:datastoreItem>
</file>

<file path=docProps/app.xml><?xml version="1.0" encoding="utf-8"?>
<Properties xmlns="http://schemas.openxmlformats.org/officeDocument/2006/extended-properties" xmlns:vt="http://schemas.openxmlformats.org/officeDocument/2006/docPropsVTypes">
  <Template>Normal</Template>
  <Company>P.LAP RAP-CAI DAT</Company>
  <Pages>5</Pages>
  <Words>2190</Words>
  <Characters>7947</Characters>
  <Lines>72</Lines>
  <Paragraphs>20</Paragraphs>
  <TotalTime>43</TotalTime>
  <ScaleCrop>false</ScaleCrop>
  <LinksUpToDate>false</LinksUpToDate>
  <CharactersWithSpaces>10135</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2026-10-19T02:51:00Z</dcterms:created>
  <dc:creator>CTY CP TM HONG HA</dc:creator>
  <cp:lastModifiedBy>user</cp:lastModifiedBy>
  <cp:lastPrinted>2025-01-08T09:20:00Z</cp:lastPrinted>
  <dcterms:modified xsi:type="dcterms:W3CDTF">2026-10-20T03:42:08Z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AE07ABAA2040412CA5A97BF0213449C8_13</vt:lpwstr>
  </property>
</Properties>
</file>