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383" w:type="pct"/>
        <w:tblInd w:w="0" w:type="dxa"/>
        <w:tblLayout w:type="autofit"/>
        <w:tblCellMar>
          <w:top w:w="0" w:type="dxa"/>
          <w:left w:w="108" w:type="dxa"/>
          <w:bottom w:w="0" w:type="dxa"/>
          <w:right w:w="108" w:type="dxa"/>
        </w:tblCellMar>
      </w:tblPr>
      <w:tblGrid>
        <w:gridCol w:w="3660"/>
        <w:gridCol w:w="6339"/>
      </w:tblGrid>
      <w:tr w14:paraId="77FB173D">
        <w:tblPrEx>
          <w:tblCellMar>
            <w:top w:w="0" w:type="dxa"/>
            <w:left w:w="108" w:type="dxa"/>
            <w:bottom w:w="0" w:type="dxa"/>
            <w:right w:w="108" w:type="dxa"/>
          </w:tblCellMar>
        </w:tblPrEx>
        <w:tc>
          <w:tcPr>
            <w:tcW w:w="1830" w:type="pct"/>
          </w:tcPr>
          <w:p w14:paraId="4654510C">
            <w:pPr>
              <w:widowControl w:val="0"/>
              <w:tabs>
                <w:tab w:val="right" w:leader="dot" w:pos="7920"/>
              </w:tabs>
              <w:ind w:left="-247"/>
              <w:jc w:val="center"/>
              <w:rPr>
                <w:bCs/>
                <w:sz w:val="26"/>
                <w:szCs w:val="26"/>
              </w:rPr>
            </w:pPr>
            <w:bookmarkStart w:id="1" w:name="_GoBack"/>
            <w:bookmarkEnd w:id="1"/>
            <w:r>
              <w:rPr>
                <w:bCs/>
                <w:sz w:val="26"/>
                <w:szCs w:val="26"/>
              </w:rPr>
              <w:t>UBND TỈNH HÀ TĨNH</w:t>
            </w:r>
          </w:p>
          <w:p w14:paraId="2BB60962">
            <w:pPr>
              <w:widowControl w:val="0"/>
              <w:tabs>
                <w:tab w:val="right" w:leader="dot" w:pos="7920"/>
              </w:tabs>
              <w:ind w:left="-247"/>
              <w:jc w:val="center"/>
              <w:rPr>
                <w:b/>
                <w:sz w:val="26"/>
                <w:szCs w:val="26"/>
                <w:u w:val="single"/>
                <w:vertAlign w:val="superscript"/>
              </w:rPr>
            </w:pPr>
            <w:r>
              <w:rPr>
                <w:b/>
                <w:sz w:val="26"/>
                <w:szCs w:val="26"/>
                <w:u w:val="single"/>
              </w:rPr>
              <w:t>SỞ TÀI CHÍNH</w:t>
            </w:r>
          </w:p>
        </w:tc>
        <w:tc>
          <w:tcPr>
            <w:tcW w:w="3170" w:type="pct"/>
          </w:tcPr>
          <w:p w14:paraId="0192CE25">
            <w:pPr>
              <w:widowControl w:val="0"/>
              <w:tabs>
                <w:tab w:val="right" w:leader="dot" w:pos="7920"/>
              </w:tabs>
              <w:jc w:val="center"/>
              <w:rPr>
                <w:sz w:val="26"/>
                <w:szCs w:val="26"/>
                <w:vertAlign w:val="superscript"/>
              </w:rPr>
            </w:pPr>
            <w:r>
              <w:rPr>
                <w:b/>
                <w:sz w:val="26"/>
                <w:szCs w:val="26"/>
              </w:rPr>
              <w:t>CỘNG HÒA XÃ HỘI CHỦ NGHĨA VIỆT NAM</w:t>
            </w:r>
            <w:r>
              <w:rPr>
                <w:b/>
                <w:sz w:val="26"/>
                <w:szCs w:val="26"/>
              </w:rPr>
              <w:br w:type="textWrapping"/>
            </w:r>
            <w:r>
              <w:rPr>
                <w:b/>
                <w:u w:val="single"/>
              </w:rPr>
              <w:t>Độc lập - Tự do - Hạnh phúc</w:t>
            </w:r>
            <w:r>
              <w:rPr>
                <w:b/>
                <w:sz w:val="26"/>
                <w:szCs w:val="26"/>
              </w:rPr>
              <w:t xml:space="preserve"> </w:t>
            </w:r>
            <w:r>
              <w:rPr>
                <w:b/>
                <w:sz w:val="26"/>
                <w:szCs w:val="26"/>
              </w:rPr>
              <w:br w:type="textWrapping"/>
            </w:r>
          </w:p>
        </w:tc>
      </w:tr>
      <w:tr w14:paraId="46BA00FE">
        <w:tblPrEx>
          <w:tblCellMar>
            <w:top w:w="0" w:type="dxa"/>
            <w:left w:w="108" w:type="dxa"/>
            <w:bottom w:w="0" w:type="dxa"/>
            <w:right w:w="108" w:type="dxa"/>
          </w:tblCellMar>
        </w:tblPrEx>
        <w:trPr>
          <w:trHeight w:val="612" w:hRule="atLeast"/>
        </w:trPr>
        <w:tc>
          <w:tcPr>
            <w:tcW w:w="1830" w:type="pct"/>
          </w:tcPr>
          <w:p w14:paraId="76B76908">
            <w:pPr>
              <w:widowControl w:val="0"/>
              <w:tabs>
                <w:tab w:val="right" w:leader="dot" w:pos="7920"/>
              </w:tabs>
              <w:jc w:val="center"/>
            </w:pPr>
            <w:r>
              <w:t>Số:         /TTr-STC</w:t>
            </w:r>
          </w:p>
          <w:p w14:paraId="7545569B">
            <w:pPr>
              <w:widowControl w:val="0"/>
              <w:tabs>
                <w:tab w:val="right" w:leader="dot" w:pos="7920"/>
              </w:tabs>
              <w:jc w:val="center"/>
              <w:rPr>
                <w:sz w:val="24"/>
                <w:szCs w:val="24"/>
                <w:lang w:val="vi-VN"/>
              </w:rPr>
            </w:pPr>
          </w:p>
        </w:tc>
        <w:tc>
          <w:tcPr>
            <w:tcW w:w="3170" w:type="pct"/>
          </w:tcPr>
          <w:p w14:paraId="00187E82">
            <w:pPr>
              <w:widowControl w:val="0"/>
              <w:tabs>
                <w:tab w:val="right" w:leader="dot" w:pos="7920"/>
              </w:tabs>
              <w:jc w:val="center"/>
              <w:rPr>
                <w:i/>
                <w:sz w:val="26"/>
                <w:szCs w:val="26"/>
                <w:lang w:val="vi-VN"/>
              </w:rPr>
            </w:pPr>
            <w:r>
              <w:rPr>
                <w:i/>
              </w:rPr>
              <w:t>Hà Tĩnh, ngày     tháng      năm 202</w:t>
            </w:r>
            <w:r>
              <w:rPr>
                <w:i/>
                <w:lang w:val="vi-VN"/>
              </w:rPr>
              <w:t>6</w:t>
            </w:r>
          </w:p>
        </w:tc>
      </w:tr>
    </w:tbl>
    <w:p w14:paraId="6C9939CE">
      <w:pPr>
        <w:widowControl w:val="0"/>
        <w:tabs>
          <w:tab w:val="right" w:leader="dot" w:pos="7920"/>
        </w:tabs>
        <w:spacing w:before="120" w:after="120"/>
        <w:jc w:val="center"/>
        <w:rPr>
          <w:b/>
        </w:rPr>
      </w:pPr>
      <w:r>
        <w:rPr>
          <w:sz w:val="24"/>
          <w:szCs w:val="24"/>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12700</wp:posOffset>
                </wp:positionV>
                <wp:extent cx="1036320" cy="285750"/>
                <wp:effectExtent l="12065" t="13335" r="8890" b="5715"/>
                <wp:wrapNone/>
                <wp:docPr id="2" name="Rectangle 2"/>
                <wp:cNvGraphicFramePr/>
                <a:graphic xmlns:a="http://schemas.openxmlformats.org/drawingml/2006/main">
                  <a:graphicData uri="http://schemas.microsoft.com/office/word/2010/wordprocessingShape">
                    <wps:wsp>
                      <wps:cNvSpPr>
                        <a:spLocks noChangeArrowheads="1"/>
                      </wps:cNvSpPr>
                      <wps:spPr bwMode="auto">
                        <a:xfrm>
                          <a:off x="0" y="0"/>
                          <a:ext cx="1036320" cy="285750"/>
                        </a:xfrm>
                        <a:prstGeom prst="rect">
                          <a:avLst/>
                        </a:prstGeom>
                        <a:noFill/>
                        <a:ln w="9525">
                          <a:solidFill>
                            <a:srgbClr val="000000"/>
                          </a:solidFill>
                          <a:miter lim="800000"/>
                        </a:ln>
                      </wps:spPr>
                      <wps:txbx>
                        <w:txbxContent>
                          <w:p w14:paraId="0D75A291">
                            <w:pPr>
                              <w:rPr>
                                <w:b/>
                                <w:sz w:val="26"/>
                                <w:szCs w:val="26"/>
                              </w:rPr>
                            </w:pPr>
                            <w:r>
                              <w:rPr>
                                <w:b/>
                                <w:sz w:val="26"/>
                                <w:szCs w:val="26"/>
                              </w:rPr>
                              <w:t>D</w:t>
                            </w:r>
                            <w:r>
                              <w:rPr>
                                <w:b/>
                                <w:sz w:val="26"/>
                                <w:szCs w:val="26"/>
                                <w:lang w:val="vi-VN"/>
                              </w:rPr>
                              <w:t>Ự THẢO</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1pt;height:22.5pt;width:81.6pt;z-index:251660288;mso-width-relative:page;mso-height-relative:page;" filled="f" stroked="t" coordsize="21600,21600" o:gfxdata="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9H2ODUAAAABQEAAA8AAAAAAAAAAQAgAAAAIgAAAGRycy9kb3ducmV2LnhtbFBLAQIUABQAAAAI&#10;AIdO4kCr21GRKgIAAFQEAAAOAAAAAAAAAAEAIAAAACMBAABkcnMvZTJvRG9jLnhtbFBLBQYAAAAA&#10;BgAGAFkBAAC/BQAAAAA=&#10;">
                <v:fill on="f" focussize="0,0"/>
                <v:stroke color="#000000" miterlimit="8" joinstyle="miter"/>
                <v:imagedata o:title=""/>
                <o:lock v:ext="edit" aspectratio="f"/>
                <v:textbox>
                  <w:txbxContent>
                    <w:p w14:paraId="0D75A291">
                      <w:pPr>
                        <w:rPr>
                          <w:b/>
                          <w:sz w:val="26"/>
                          <w:szCs w:val="26"/>
                        </w:rPr>
                      </w:pPr>
                      <w:r>
                        <w:rPr>
                          <w:b/>
                          <w:sz w:val="26"/>
                          <w:szCs w:val="26"/>
                        </w:rPr>
                        <w:t>D</w:t>
                      </w:r>
                      <w:r>
                        <w:rPr>
                          <w:b/>
                          <w:sz w:val="26"/>
                          <w:szCs w:val="26"/>
                          <w:lang w:val="vi-VN"/>
                        </w:rPr>
                        <w:t>Ự THẢO</w:t>
                      </w:r>
                    </w:p>
                  </w:txbxContent>
                </v:textbox>
              </v:rect>
            </w:pict>
          </mc:Fallback>
        </mc:AlternateContent>
      </w:r>
    </w:p>
    <w:p w14:paraId="68C4D9DA">
      <w:pPr>
        <w:widowControl w:val="0"/>
        <w:tabs>
          <w:tab w:val="right" w:leader="dot" w:pos="7920"/>
        </w:tabs>
        <w:spacing w:before="120" w:after="120"/>
        <w:jc w:val="center"/>
        <w:rPr>
          <w:b/>
          <w:lang w:val="vi-VN"/>
        </w:rPr>
      </w:pPr>
      <w:r>
        <w:rPr>
          <w:b/>
        </w:rPr>
        <w:t>TỜ TRÌNH</w:t>
      </w:r>
    </w:p>
    <w:p w14:paraId="40540D1B">
      <w:pPr>
        <w:jc w:val="center"/>
        <w:rPr>
          <w:b/>
          <w:bCs/>
        </w:rPr>
      </w:pPr>
      <w:r>
        <w:rPr>
          <w:b/>
        </w:rPr>
        <w:t>Dự thảo</w:t>
      </w:r>
      <w:r>
        <w:rPr>
          <w:b/>
          <w:lang w:val="vi-VN"/>
        </w:rPr>
        <w:t xml:space="preserve"> </w:t>
      </w:r>
      <w:bookmarkStart w:id="0" w:name="_Hlk194676856"/>
      <w:r>
        <w:rPr>
          <w:b/>
          <w:lang w:val="nl-NL"/>
        </w:rPr>
        <w:t xml:space="preserve">Quyết định quy định </w:t>
      </w:r>
      <w:bookmarkEnd w:id="0"/>
      <w:r>
        <w:rPr>
          <w:b/>
          <w:bCs/>
          <w:lang w:val="nl-NL"/>
        </w:rPr>
        <w:t>đối tượng khách trong nước được mời cơm áp dụng đối với các cơ quan, đơn vị, địa phương thuộc phạm vi quản lý của tỉnh Hà Tĩnh</w:t>
      </w:r>
    </w:p>
    <w:p w14:paraId="3E462CD5">
      <w:pPr>
        <w:widowControl w:val="0"/>
        <w:jc w:val="center"/>
        <w:rPr>
          <w:b/>
          <w:lang w:val="vi-VN"/>
        </w:rPr>
      </w:pPr>
      <w:r>
        <w:rPr>
          <w:b/>
        </w:rPr>
        <mc:AlternateContent>
          <mc:Choice Requires="wps">
            <w:drawing>
              <wp:anchor distT="0" distB="0" distL="114300" distR="114300" simplePos="0" relativeHeight="251659264" behindDoc="0" locked="0" layoutInCell="1" allowOverlap="1">
                <wp:simplePos x="0" y="0"/>
                <wp:positionH relativeFrom="column">
                  <wp:posOffset>2274570</wp:posOffset>
                </wp:positionH>
                <wp:positionV relativeFrom="paragraph">
                  <wp:posOffset>22860</wp:posOffset>
                </wp:positionV>
                <wp:extent cx="1282700" cy="0"/>
                <wp:effectExtent l="0" t="0" r="31750" b="19050"/>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12827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79.1pt;margin-top:1.8pt;height:0pt;width:101pt;z-index:251659264;mso-width-relative:page;mso-height-relative:page;" filled="f" stroked="t" coordsize="21600,21600" o:gfxdata="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&#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Eu5KMHTAAAABwEAAA8AAAAAAAAAAQAgAAAAIgAAAGRy&#10;cy9kb3ducmV2LnhtbFBLAQIUABQAAAAIAIdO4kBlLgJb0QEAAK0DAAAOAAAAAAAAAAEAIAAAACIB&#10;AABkcnMvZTJvRG9jLnhtbFBLBQYAAAAABgAGAFkBAABlBQAAAAA=&#10;">
                <v:fill on="f" focussize="0,0"/>
                <v:stroke color="#000000" joinstyle="round"/>
                <v:imagedata o:title=""/>
                <o:lock v:ext="edit" aspectratio="f"/>
              </v:line>
            </w:pict>
          </mc:Fallback>
        </mc:AlternateContent>
      </w:r>
    </w:p>
    <w:p w14:paraId="2532C245">
      <w:pPr>
        <w:spacing w:before="120" w:after="120"/>
        <w:jc w:val="center"/>
        <w:rPr>
          <w:lang w:val="vi-VN"/>
        </w:rPr>
      </w:pPr>
      <w:r>
        <w:rPr>
          <w:lang w:val="vi-VN"/>
        </w:rPr>
        <w:t>Kính gửi: Ủy ban nhân dân tỉnh</w:t>
      </w:r>
    </w:p>
    <w:p w14:paraId="27539135">
      <w:pPr>
        <w:spacing w:after="120"/>
        <w:jc w:val="center"/>
        <w:rPr>
          <w:lang w:val="vi-VN"/>
        </w:rPr>
      </w:pPr>
    </w:p>
    <w:p w14:paraId="1DBAD6FB">
      <w:pPr>
        <w:widowControl w:val="0"/>
        <w:tabs>
          <w:tab w:val="left" w:pos="851"/>
        </w:tabs>
        <w:spacing w:after="120"/>
        <w:ind w:firstLine="709"/>
        <w:jc w:val="both"/>
        <w:rPr>
          <w:bCs/>
          <w:spacing w:val="-6"/>
          <w:lang w:val="vi-VN"/>
        </w:rPr>
      </w:pPr>
      <w:r>
        <w:rPr>
          <w:spacing w:val="-4"/>
        </w:rPr>
        <w:t xml:space="preserve">Thực hiện Luật Ban hành văn bản quy phạm pháp luật số 64/2025/QH15 được sửa đổi, bổ sung bởi Luật số 87/2025/QH15; </w:t>
      </w:r>
      <w:r>
        <w:rPr>
          <w:bCs/>
          <w:spacing w:val="-6"/>
          <w:lang w:val="vi-VN"/>
        </w:rPr>
        <w:t>Căn cứ Luật Ngân sách nhà nước số 89/2025/QH15</w:t>
      </w:r>
      <w:r>
        <w:t>; Thông tư số 35/2026/TT-BTC ngày 31 tháng 3 năm 2026 của Bộ Tài chính quy định chế độ tiếp khách nước ngoài vào làm việc tại Việt Nam, chế độ chi tổ chức hội nghị, hội thảo quốc tế tại Việt Nam và chế độ tiếp khách trong nước; trên cơ sở phối hợp với Sở Tư pháp và các sở, ngành, địa phương liên quan rà soát, hoàn thiện dự thảo, Sở Tài chính kính trình UBND tỉnh dự thảo Quyết định quy định đối tượng khách trong nước được mời cơm áp dụng đối với các cơ quan, đơn vị, địa phương thuộc phạm vi quản lý của tỉnh Hà Tĩnh, cụ thể như sau:</w:t>
      </w:r>
    </w:p>
    <w:p w14:paraId="6F8A19CF">
      <w:pPr>
        <w:pStyle w:val="18"/>
        <w:numPr>
          <w:ilvl w:val="0"/>
          <w:numId w:val="1"/>
        </w:numPr>
        <w:tabs>
          <w:tab w:val="left" w:pos="993"/>
        </w:tabs>
        <w:spacing w:after="120"/>
        <w:ind w:left="0" w:firstLine="709"/>
        <w:jc w:val="both"/>
        <w:rPr>
          <w:b/>
          <w:spacing w:val="2"/>
          <w:lang w:val="it-IT"/>
        </w:rPr>
      </w:pPr>
      <w:r>
        <w:rPr>
          <w:b/>
          <w:spacing w:val="2"/>
          <w:lang w:val="it-IT"/>
        </w:rPr>
        <w:t>SỰ CẦN THIẾT BAN HÀNH QUYẾT ĐỊNH</w:t>
      </w:r>
    </w:p>
    <w:p w14:paraId="200D1BAD">
      <w:pPr>
        <w:pStyle w:val="13"/>
        <w:numPr>
          <w:ilvl w:val="0"/>
          <w:numId w:val="2"/>
        </w:numPr>
        <w:tabs>
          <w:tab w:val="left" w:pos="851"/>
          <w:tab w:val="left" w:pos="993"/>
        </w:tabs>
        <w:spacing w:before="0" w:beforeAutospacing="0" w:after="120" w:afterAutospacing="0"/>
        <w:ind w:hanging="11"/>
        <w:jc w:val="both"/>
        <w:rPr>
          <w:b/>
          <w:sz w:val="28"/>
          <w:szCs w:val="28"/>
        </w:rPr>
      </w:pPr>
      <w:r>
        <w:rPr>
          <w:b/>
          <w:sz w:val="28"/>
          <w:szCs w:val="28"/>
          <w:lang w:val="vi-VN"/>
        </w:rPr>
        <w:t>Cơ sở pháp lý</w:t>
      </w:r>
    </w:p>
    <w:p w14:paraId="17D04466">
      <w:pPr>
        <w:pStyle w:val="13"/>
        <w:spacing w:before="0" w:beforeAutospacing="0" w:after="120" w:afterAutospacing="0"/>
        <w:ind w:firstLine="709"/>
        <w:jc w:val="both"/>
        <w:rPr>
          <w:sz w:val="28"/>
          <w:szCs w:val="28"/>
        </w:rPr>
      </w:pPr>
      <w:r>
        <w:rPr>
          <w:sz w:val="28"/>
          <w:szCs w:val="28"/>
        </w:rPr>
        <w:t xml:space="preserve">Ngày 31 tháng 3 năm 2026 của Bộ Tài chính ban hành Thông tư số 35/2026/TT-BTС ngày 31 tháng 3 năm 2026 của Bộ Tài chính quy định chế độ tiếp khách nước ngoài vào làm việc tại Việt Nam, chế độ chi tổ chức hội nghị, hội thảo quốc tế tại Việt Nam và chế độ tiếp khách trong nước (sau đây gọi tắt là Thông tư số 35/2026/TT-BTС). Trong đó, tại Điểm b Khoản 2 Điều 31 của Thông tư số 35/2026/TT-BTС quy định </w:t>
      </w:r>
      <w:r>
        <w:rPr>
          <w:i/>
          <w:sz w:val="28"/>
          <w:szCs w:val="28"/>
        </w:rPr>
        <w:t>“b) Ủy ban nhân dân tỉnh, thành phố trực thuộc trung ương căn cứ tình hình thực tế và khả năng ngân sách địa phương quy định cụ thể đối tượng khách được mời cơm đối với từng loại hình cơ quan thuộc tỉnh, trình Hội đồng nhân dân tỉnh trước khi ban hành, bảo đảm tiết kiệm, hiệu quả”</w:t>
      </w:r>
      <w:r>
        <w:rPr>
          <w:sz w:val="28"/>
          <w:szCs w:val="28"/>
        </w:rPr>
        <w:t xml:space="preserve">; </w:t>
      </w:r>
    </w:p>
    <w:p w14:paraId="207A7D96">
      <w:pPr>
        <w:pStyle w:val="13"/>
        <w:spacing w:before="0" w:beforeAutospacing="0" w:after="120" w:afterAutospacing="0"/>
        <w:ind w:firstLine="709"/>
        <w:jc w:val="both"/>
        <w:rPr>
          <w:rStyle w:val="20"/>
          <w:color w:val="auto"/>
        </w:rPr>
      </w:pPr>
      <w:r>
        <w:rPr>
          <w:rStyle w:val="20"/>
          <w:color w:val="auto"/>
        </w:rPr>
        <w:t>Do đó, việc ban hành quy định đối tượng khách trong nước được mời cơm áp dụng đối với các cơ quan, đơn vị, địa phương thuộc phạm vi quản lý của tỉnh Hà Tĩnh là cần thiết và đảm bảo theo đúng quy định; UBND tỉnh ban hành Quyết định này là phù hợp về thẩm quyền.</w:t>
      </w:r>
    </w:p>
    <w:p w14:paraId="35CFE006">
      <w:pPr>
        <w:pStyle w:val="18"/>
        <w:numPr>
          <w:ilvl w:val="0"/>
          <w:numId w:val="2"/>
        </w:numPr>
        <w:tabs>
          <w:tab w:val="left" w:pos="993"/>
        </w:tabs>
        <w:spacing w:after="120"/>
        <w:ind w:hanging="11"/>
        <w:jc w:val="both"/>
        <w:rPr>
          <w:b/>
          <w:lang w:val="vi-VN"/>
        </w:rPr>
      </w:pPr>
      <w:r>
        <w:rPr>
          <w:b/>
        </w:rPr>
        <w:t>C</w:t>
      </w:r>
      <w:r>
        <w:rPr>
          <w:b/>
          <w:lang w:val="vi-VN"/>
        </w:rPr>
        <w:t>ơ sở thực tiễn</w:t>
      </w:r>
    </w:p>
    <w:p w14:paraId="339E2460">
      <w:pPr>
        <w:tabs>
          <w:tab w:val="left" w:pos="720"/>
        </w:tabs>
        <w:spacing w:after="120"/>
        <w:jc w:val="both"/>
        <w:rPr>
          <w:b/>
          <w:lang w:val="vi-VN"/>
        </w:rPr>
      </w:pPr>
      <w:r>
        <w:tab/>
      </w:r>
      <w:r>
        <w:t>Việc không quy định cụ thể đối tượng khách được mời cơm thường dẫn đến các khó khăn vướng mắc trong quá trình thực hiện như: gây lúng túng, khó khăn trong việc xác định đối tượng khách được mời cơm (đặc biệt với các đoàn công tác phối hợp hoặc khách mời không nằm trong cơ quan hành chính nhà nước); địa phương không ban hành văn bản làm căn cứ tham chiếu sẽ tạo ra sự bất cập khi xây dựng quy chế chi tiêu nội bộ giữa các cơ quan, đơn vị trên địa bàn tỉnh; nguy cơ xuất hiện tình trạng tiếp khách tràn lan, không đúng mục đích công vụ.</w:t>
      </w:r>
    </w:p>
    <w:p w14:paraId="2306AA67">
      <w:pPr>
        <w:pStyle w:val="13"/>
        <w:spacing w:before="0" w:beforeAutospacing="0" w:after="120" w:afterAutospacing="0"/>
        <w:ind w:firstLine="709"/>
        <w:jc w:val="both"/>
        <w:rPr>
          <w:sz w:val="28"/>
          <w:szCs w:val="28"/>
        </w:rPr>
      </w:pPr>
      <w:r>
        <w:rPr>
          <w:sz w:val="28"/>
          <w:szCs w:val="28"/>
        </w:rPr>
        <w:t>Để bảo đảm việc thực hiện theo quy định tại Điều 31 Thông tư số 35/2026/TT-BTC và quy định cụ thể đối tượng khách được mời cơm, tạo điều kiện thuận lợi cho các cơ quan, đơn vị trong quá trình triển khai thực hiện nhiệm vụ được giao, đồng thời áp dụng thống nhất văn bản quy phạm pháp luật trên địa bàn tỉnh Hà Tĩnh, việc ban hành Quyết định của Uỷ ban nhân dân tỉnh quy định đối tượng khách trong nước được mời cơm áp dụng cho các cơ quan, đơn vị thuộc phạm vi quản lý của tỉnh Hà Tĩnh là phù hợp và cần thiết.</w:t>
      </w:r>
    </w:p>
    <w:p w14:paraId="692A2F35">
      <w:pPr>
        <w:pStyle w:val="13"/>
        <w:spacing w:before="0" w:beforeAutospacing="0" w:after="120" w:afterAutospacing="0"/>
        <w:ind w:firstLine="709"/>
        <w:jc w:val="both"/>
        <w:rPr>
          <w:sz w:val="28"/>
          <w:szCs w:val="28"/>
        </w:rPr>
      </w:pPr>
      <w:r>
        <w:rPr>
          <w:sz w:val="28"/>
          <w:szCs w:val="28"/>
        </w:rPr>
        <w:t xml:space="preserve">Vì vậy, việc ban hành </w:t>
      </w:r>
      <w:r>
        <w:rPr>
          <w:rStyle w:val="20"/>
          <w:color w:val="auto"/>
          <w:spacing w:val="-6"/>
        </w:rPr>
        <w:t xml:space="preserve">quy định đối tượng khách trong nước được mời cơm áp dụng đối với các cơ quan, đơn vị, địa phương thuộc phạm vi quản lý của tỉnh Hà Tĩnh </w:t>
      </w:r>
      <w:r>
        <w:rPr>
          <w:sz w:val="28"/>
          <w:szCs w:val="28"/>
        </w:rPr>
        <w:t>là phù hợp với thực tiễn và cần thiết.</w:t>
      </w:r>
    </w:p>
    <w:p w14:paraId="56FF2935">
      <w:pPr>
        <w:pStyle w:val="13"/>
        <w:spacing w:before="0" w:beforeAutospacing="0" w:after="120" w:afterAutospacing="0"/>
        <w:ind w:firstLine="709"/>
        <w:jc w:val="both"/>
        <w:rPr>
          <w:sz w:val="28"/>
          <w:szCs w:val="28"/>
        </w:rPr>
      </w:pPr>
      <w:r>
        <w:rPr>
          <w:b/>
          <w:spacing w:val="-6"/>
          <w:sz w:val="28"/>
          <w:szCs w:val="28"/>
        </w:rPr>
        <w:t>II. MỤC ĐÍCH, QUAN ĐIỂM XÂY DỰNG QUYẾT ĐỊNH</w:t>
      </w:r>
    </w:p>
    <w:p w14:paraId="71D07298">
      <w:pPr>
        <w:spacing w:after="120"/>
        <w:ind w:firstLine="720"/>
        <w:jc w:val="both"/>
        <w:rPr>
          <w:b/>
          <w:spacing w:val="-6"/>
        </w:rPr>
      </w:pPr>
      <w:r>
        <w:rPr>
          <w:b/>
          <w:spacing w:val="-6"/>
        </w:rPr>
        <w:t>1. Mục đích</w:t>
      </w:r>
    </w:p>
    <w:p w14:paraId="2F33D147">
      <w:pPr>
        <w:spacing w:after="120"/>
        <w:ind w:firstLine="709"/>
        <w:jc w:val="both"/>
      </w:pPr>
      <w:r>
        <w:t xml:space="preserve">Việc ban hành quy định nhằm mục đích thống nhất về đối tượng khách trong nước được mời cơm </w:t>
      </w:r>
      <w:r>
        <w:rPr>
          <w:bCs/>
          <w:lang w:val="nl-NL"/>
        </w:rPr>
        <w:t>áp dụng đối với các cơ quan, đơn vị, địa phương thuộc phạm vị quản lý của tỉnh Hà Tĩnh</w:t>
      </w:r>
      <w:r>
        <w:t xml:space="preserve"> và làm cơ sở pháp lý để các cơ quan, đơn vị thực hiện việc tiếp khách và chi tiêu đúng quy định của Nhà nước, bảo đảm quản lý, sử dụng kinh phí tiếp khách tiết kiệm, hiệu quả, minh bạch.</w:t>
      </w:r>
    </w:p>
    <w:p w14:paraId="1537B0E2">
      <w:pPr>
        <w:spacing w:after="120"/>
        <w:ind w:firstLine="720"/>
        <w:jc w:val="both"/>
        <w:rPr>
          <w:spacing w:val="-6"/>
        </w:rPr>
      </w:pPr>
      <w:r>
        <w:rPr>
          <w:b/>
          <w:spacing w:val="-6"/>
        </w:rPr>
        <w:t>2. Quan điểm</w:t>
      </w:r>
      <w:r>
        <w:rPr>
          <w:spacing w:val="-6"/>
        </w:rPr>
        <w:t xml:space="preserve"> </w:t>
      </w:r>
    </w:p>
    <w:p w14:paraId="09719307">
      <w:pPr>
        <w:spacing w:after="120"/>
        <w:ind w:firstLine="709"/>
        <w:jc w:val="both"/>
      </w:pPr>
      <w:r>
        <w:t>Việc soạn thảo, ban hành dự thảo văn bản tuân thủ đúng trình tự, thủ tục xây dựng và ban hành văn bản quy phạm pháp luật; bảo đảm phù hợp với các quy định của pháp luật hiện hành về chế độ chi tiêu, tiếp khách và quản lý, sử dụng ngân sách nhà nước; bảo đảm nguyên tắc tiết kiệm, hiệu quả, minh bạch, tránh lãng phí trong việc tiếp khách góp phần nâng cao hiệu quả công tác tiếp đón, làm việc với các cơ quan, đơn vị trong nước.</w:t>
      </w:r>
    </w:p>
    <w:p w14:paraId="65222E6F">
      <w:pPr>
        <w:spacing w:after="120"/>
        <w:ind w:firstLine="709"/>
        <w:jc w:val="both"/>
      </w:pPr>
      <w:r>
        <w:t>Đối tượng khách được mời cơm quy định tại Quyết định này phù hợp với tình hình thực hiện nhiệm vụ thực tế của các cơ quan, đơn vị, địa phương trên địa bàn tỉnh, bảo đảm sự đồng thuận, thống nhất của các cơ quan, tổ chức, đơn vị có liên quan trong phạm vi quản lý của tỉnh, tạo điều kiện thuận lợi cho việc tổ chức triển khai thực hiện sau khi Quyết định được ban hành.</w:t>
      </w:r>
    </w:p>
    <w:p w14:paraId="3370904C">
      <w:pPr>
        <w:pStyle w:val="13"/>
        <w:spacing w:before="0" w:beforeAutospacing="0" w:after="120" w:afterAutospacing="0"/>
        <w:ind w:firstLine="709"/>
        <w:jc w:val="both"/>
        <w:rPr>
          <w:b/>
          <w:bCs/>
          <w:sz w:val="28"/>
          <w:szCs w:val="28"/>
        </w:rPr>
      </w:pPr>
      <w:r>
        <w:rPr>
          <w:b/>
          <w:bCs/>
          <w:sz w:val="28"/>
          <w:szCs w:val="28"/>
        </w:rPr>
        <w:t>III. QUÁ TRÌNH XÂY DỰNG DỰ THẢO QUYẾT ĐỊNH</w:t>
      </w:r>
    </w:p>
    <w:p w14:paraId="42B32314">
      <w:pPr>
        <w:spacing w:after="120"/>
        <w:ind w:firstLine="709"/>
        <w:jc w:val="both"/>
      </w:pPr>
      <w:r>
        <w:t>Trong quá trình xây dựng Dự thảo Nghị quyết, Ủy ban nhân dân tỉnh chỉ đạo Sở Tài chính thực hiện đúng quy trình quy định tại Nghị định số 78/2025/NĐ-CP ngày 01/4/2025 của Chính phủ quy định chi tiết một số điều và biện pháp để tổ chức, hướng dẫn thi hành Luật Ban hành văn bản quy phạm pháp luật và Nghị định số 187/2025/NĐ-CP ngày 01/7/2025 của Chính phủ sửa đổi, bổ sung một số điều của Nghị định số 78/2025/NĐ-CP</w:t>
      </w:r>
      <w:r>
        <w:rPr>
          <w:bCs/>
          <w:iCs/>
          <w:lang w:val="it-IT"/>
        </w:rPr>
        <w:t xml:space="preserve">. </w:t>
      </w:r>
      <w:r>
        <w:t>Trên cơ sở nhiệm vụ được giao, Sở Tài chính đã triển khai xây dựng dự thảo Quyết định của UBND tỉnh thông qua đối tượng khách trong nước được mời cơm áp dụng cho các cơ quan, đơn vị thuộc phạm vi quản lý của tỉnh Hà Tĩnh và được tổ chức lấy ý kiến tham gia của các cơ quan, đơn vị, UBND các xã, phường tại Công văn số   /STC-QLN ngày   tháng   năm 2026 của Sở Tài chính; đồng thời được đăng tải trên Cổng thông tin điện tử Tỉnh Hà Tĩnh và Trang thông tin điện tử của Sở Tài chính để lấy ý kiến góp ý theo quy định.</w:t>
      </w:r>
    </w:p>
    <w:p w14:paraId="6D5595A6">
      <w:pPr>
        <w:spacing w:after="120"/>
        <w:ind w:firstLine="709"/>
        <w:jc w:val="both"/>
      </w:pPr>
      <w:r>
        <w:t>Dự thảo được Sở Tư pháp thẩm định tại Báo cáo số    /BC-STP ngày   tháng   năm 2026; Sở Tài chính đã tiếp thu, giải trình và hoàn thiện, trình Ủy ban nhân dân tỉnh.</w:t>
      </w:r>
    </w:p>
    <w:p w14:paraId="6DC97359">
      <w:pPr>
        <w:pStyle w:val="13"/>
        <w:spacing w:before="0" w:beforeAutospacing="0" w:after="120" w:afterAutospacing="0"/>
        <w:ind w:firstLine="709"/>
        <w:jc w:val="both"/>
        <w:rPr>
          <w:b/>
          <w:spacing w:val="-6"/>
          <w:sz w:val="28"/>
          <w:szCs w:val="28"/>
        </w:rPr>
      </w:pPr>
      <w:r>
        <w:rPr>
          <w:b/>
          <w:bCs/>
          <w:spacing w:val="-6"/>
          <w:sz w:val="28"/>
          <w:szCs w:val="28"/>
        </w:rPr>
        <w:t>I</w:t>
      </w:r>
      <w:r>
        <w:rPr>
          <w:b/>
          <w:spacing w:val="-6"/>
          <w:sz w:val="28"/>
          <w:szCs w:val="28"/>
        </w:rPr>
        <w:t>V. BỐ CỤC VÀ NỘI DUNG CƠ BẢN DỰ THẢO QUYẾT ĐỊNH</w:t>
      </w:r>
    </w:p>
    <w:p w14:paraId="64A69017">
      <w:pPr>
        <w:tabs>
          <w:tab w:val="left" w:pos="993"/>
        </w:tabs>
        <w:spacing w:after="120"/>
        <w:ind w:firstLine="709"/>
        <w:jc w:val="both"/>
        <w:rPr>
          <w:b/>
          <w:spacing w:val="-4"/>
          <w:lang w:val="it-IT"/>
        </w:rPr>
      </w:pPr>
      <w:r>
        <w:rPr>
          <w:b/>
          <w:spacing w:val="-4"/>
          <w:lang w:val="it-IT"/>
        </w:rPr>
        <w:t>1. Phạm vi điều chỉnh</w:t>
      </w:r>
    </w:p>
    <w:p w14:paraId="2A30FAFF">
      <w:pPr>
        <w:tabs>
          <w:tab w:val="left" w:pos="993"/>
        </w:tabs>
        <w:spacing w:after="120"/>
        <w:ind w:firstLine="709"/>
        <w:jc w:val="both"/>
        <w:rPr>
          <w:lang w:val="vi-VN"/>
        </w:rPr>
      </w:pPr>
      <w:r>
        <w:rPr>
          <w:lang w:val="vi-VN"/>
        </w:rPr>
        <w:t xml:space="preserve">Quyết định này quy định đối tượng khách trong nước được mời cơm </w:t>
      </w:r>
      <w:r>
        <w:rPr>
          <w:bCs/>
          <w:lang w:val="nl-NL"/>
        </w:rPr>
        <w:t>áp dụng đối với các cơ quan, đơn vị, địa phương thuộc phạm vi quản lý của tỉnh Hà Tĩnh.</w:t>
      </w:r>
    </w:p>
    <w:p w14:paraId="4BA51A6B">
      <w:pPr>
        <w:tabs>
          <w:tab w:val="left" w:pos="993"/>
        </w:tabs>
        <w:spacing w:after="120"/>
        <w:ind w:firstLine="709"/>
        <w:jc w:val="both"/>
        <w:rPr>
          <w:b/>
          <w:bCs/>
          <w:spacing w:val="-6"/>
          <w:lang w:val="it-IT"/>
        </w:rPr>
      </w:pPr>
      <w:r>
        <w:rPr>
          <w:b/>
          <w:bCs/>
          <w:spacing w:val="-6"/>
          <w:lang w:val="it-IT"/>
        </w:rPr>
        <w:t>2. Đối tượng áp dụng</w:t>
      </w:r>
    </w:p>
    <w:p w14:paraId="21CC0465">
      <w:pPr>
        <w:widowControl w:val="0"/>
        <w:tabs>
          <w:tab w:val="left" w:pos="763"/>
        </w:tabs>
        <w:spacing w:after="120"/>
        <w:ind w:right="-6" w:firstLine="709"/>
        <w:jc w:val="both"/>
        <w:rPr>
          <w:iCs/>
          <w:color w:val="000000"/>
          <w:lang w:val="vi-VN"/>
        </w:rPr>
      </w:pPr>
      <w:r>
        <w:rPr>
          <w:bCs/>
          <w:color w:val="000000"/>
          <w:lang w:val="vi-VN"/>
        </w:rPr>
        <w:t>1. Tổ chức chính trị, Ủy ban Mặt trận Tổ quốc Việt Nam và các tổ chức chính trị - xã hội.</w:t>
      </w:r>
    </w:p>
    <w:p w14:paraId="2AD16944">
      <w:pPr>
        <w:widowControl w:val="0"/>
        <w:spacing w:after="120"/>
        <w:ind w:firstLine="709"/>
        <w:jc w:val="both"/>
        <w:rPr>
          <w:bCs/>
          <w:color w:val="000000"/>
          <w:lang w:val="vi-VN"/>
        </w:rPr>
      </w:pPr>
      <w:r>
        <w:rPr>
          <w:bCs/>
          <w:color w:val="000000"/>
          <w:lang w:val="vi-VN"/>
        </w:rPr>
        <w:t>2. Cơ quan nhà nước, đơn vị sự nghiệp công lập.</w:t>
      </w:r>
    </w:p>
    <w:p w14:paraId="3EC00FA0">
      <w:pPr>
        <w:widowControl w:val="0"/>
        <w:spacing w:after="120"/>
        <w:ind w:firstLine="709"/>
        <w:jc w:val="both"/>
        <w:rPr>
          <w:bCs/>
          <w:color w:val="000000"/>
          <w:lang w:val="vi-VN"/>
        </w:rPr>
      </w:pPr>
      <w:r>
        <w:rPr>
          <w:bCs/>
          <w:color w:val="000000"/>
          <w:lang w:val="vi-VN"/>
        </w:rPr>
        <w:t>3. Các tổ chức sử dụng kinh phí do ngân sách nhà nước hỗ trợ.</w:t>
      </w:r>
    </w:p>
    <w:p w14:paraId="581D0CA7">
      <w:pPr>
        <w:pStyle w:val="13"/>
        <w:spacing w:before="0" w:beforeAutospacing="0" w:after="120" w:afterAutospacing="0"/>
        <w:ind w:firstLine="709"/>
        <w:jc w:val="both"/>
        <w:rPr>
          <w:b/>
          <w:spacing w:val="-6"/>
          <w:sz w:val="28"/>
          <w:szCs w:val="28"/>
        </w:rPr>
      </w:pPr>
      <w:r>
        <w:rPr>
          <w:b/>
          <w:spacing w:val="-6"/>
          <w:sz w:val="28"/>
          <w:szCs w:val="28"/>
        </w:rPr>
        <w:t>3. Bố cục của dự thảo Quyết định</w:t>
      </w:r>
    </w:p>
    <w:p w14:paraId="386D10C8">
      <w:pPr>
        <w:pStyle w:val="13"/>
        <w:spacing w:before="0" w:beforeAutospacing="0" w:after="120" w:afterAutospacing="0"/>
        <w:ind w:firstLine="706"/>
        <w:jc w:val="both"/>
        <w:rPr>
          <w:sz w:val="28"/>
          <w:szCs w:val="28"/>
        </w:rPr>
      </w:pPr>
      <w:r>
        <w:rPr>
          <w:spacing w:val="-6"/>
          <w:sz w:val="28"/>
          <w:szCs w:val="28"/>
        </w:rPr>
        <w:t>Quyết định dự kiến bao gồm 05 Điều, cụ thể</w:t>
      </w:r>
      <w:r>
        <w:rPr>
          <w:sz w:val="28"/>
          <w:szCs w:val="28"/>
        </w:rPr>
        <w:t xml:space="preserve">: </w:t>
      </w:r>
    </w:p>
    <w:p w14:paraId="4B298F2A">
      <w:pPr>
        <w:pStyle w:val="13"/>
        <w:spacing w:before="0" w:beforeAutospacing="0" w:after="120" w:afterAutospacing="0"/>
        <w:ind w:firstLine="706"/>
        <w:rPr>
          <w:iCs/>
          <w:sz w:val="28"/>
          <w:szCs w:val="28"/>
          <w:lang w:val="it-IT"/>
        </w:rPr>
      </w:pPr>
      <w:r>
        <w:rPr>
          <w:bCs/>
          <w:iCs/>
          <w:sz w:val="28"/>
          <w:szCs w:val="28"/>
          <w:lang w:val="vi-VN"/>
        </w:rPr>
        <w:t>Điều 1. Phạm vi điều chỉnh</w:t>
      </w:r>
    </w:p>
    <w:p w14:paraId="1466152D">
      <w:pPr>
        <w:pStyle w:val="13"/>
        <w:spacing w:before="0" w:beforeAutospacing="0" w:after="120" w:afterAutospacing="0"/>
        <w:ind w:firstLine="706"/>
        <w:rPr>
          <w:iCs/>
          <w:sz w:val="28"/>
          <w:szCs w:val="28"/>
          <w:lang w:val="vi-VN"/>
        </w:rPr>
      </w:pPr>
      <w:r>
        <w:rPr>
          <w:bCs/>
          <w:iCs/>
          <w:sz w:val="28"/>
          <w:szCs w:val="28"/>
          <w:lang w:val="vi-VN"/>
        </w:rPr>
        <w:t>Điều 2. Đối tượng áp dụng</w:t>
      </w:r>
    </w:p>
    <w:p w14:paraId="2B472DCD">
      <w:pPr>
        <w:pStyle w:val="13"/>
        <w:spacing w:before="0" w:beforeAutospacing="0" w:after="120" w:afterAutospacing="0"/>
        <w:ind w:firstLine="706"/>
        <w:rPr>
          <w:bCs/>
          <w:iCs/>
          <w:sz w:val="28"/>
          <w:szCs w:val="28"/>
        </w:rPr>
      </w:pPr>
      <w:r>
        <w:rPr>
          <w:bCs/>
          <w:iCs/>
          <w:sz w:val="28"/>
          <w:szCs w:val="28"/>
          <w:lang w:val="vi-VN"/>
        </w:rPr>
        <w:t xml:space="preserve">Điều 3. </w:t>
      </w:r>
      <w:r>
        <w:rPr>
          <w:bCs/>
          <w:iCs/>
          <w:sz w:val="28"/>
          <w:szCs w:val="28"/>
        </w:rPr>
        <w:t>Nguyên tắc áp dụng</w:t>
      </w:r>
    </w:p>
    <w:p w14:paraId="06FA042F">
      <w:pPr>
        <w:pStyle w:val="13"/>
        <w:spacing w:before="0" w:beforeAutospacing="0" w:after="120" w:afterAutospacing="0"/>
        <w:ind w:firstLine="706"/>
        <w:jc w:val="both"/>
        <w:rPr>
          <w:bCs/>
          <w:iCs/>
          <w:sz w:val="28"/>
          <w:szCs w:val="28"/>
          <w:lang w:val="vi-VN"/>
        </w:rPr>
      </w:pPr>
      <w:r>
        <w:rPr>
          <w:bCs/>
          <w:iCs/>
          <w:sz w:val="28"/>
          <w:szCs w:val="28"/>
          <w:lang w:val="vi-VN"/>
        </w:rPr>
        <w:t xml:space="preserve">Điều </w:t>
      </w:r>
      <w:r>
        <w:rPr>
          <w:bCs/>
          <w:iCs/>
          <w:sz w:val="28"/>
          <w:szCs w:val="28"/>
        </w:rPr>
        <w:t>4</w:t>
      </w:r>
      <w:r>
        <w:rPr>
          <w:bCs/>
          <w:iCs/>
          <w:sz w:val="28"/>
          <w:szCs w:val="28"/>
          <w:lang w:val="vi-VN"/>
        </w:rPr>
        <w:t>. Quy định cụ thể đối tượng khách trong nước được mời cơm</w:t>
      </w:r>
    </w:p>
    <w:p w14:paraId="59EFCB04">
      <w:pPr>
        <w:pStyle w:val="13"/>
        <w:spacing w:before="0" w:beforeAutospacing="0" w:after="120" w:afterAutospacing="0"/>
        <w:ind w:firstLine="706"/>
        <w:jc w:val="both"/>
        <w:rPr>
          <w:bCs/>
          <w:iCs/>
          <w:spacing w:val="-6"/>
          <w:sz w:val="28"/>
          <w:szCs w:val="28"/>
        </w:rPr>
      </w:pPr>
      <w:r>
        <w:rPr>
          <w:bCs/>
          <w:iCs/>
          <w:sz w:val="28"/>
          <w:szCs w:val="28"/>
          <w:lang w:val="vi-VN"/>
        </w:rPr>
        <w:t xml:space="preserve">Điều </w:t>
      </w:r>
      <w:r>
        <w:rPr>
          <w:bCs/>
          <w:iCs/>
          <w:sz w:val="28"/>
          <w:szCs w:val="28"/>
        </w:rPr>
        <w:t>5</w:t>
      </w:r>
      <w:r>
        <w:rPr>
          <w:bCs/>
          <w:iCs/>
          <w:sz w:val="28"/>
          <w:szCs w:val="28"/>
          <w:lang w:val="vi-VN"/>
        </w:rPr>
        <w:t xml:space="preserve">. </w:t>
      </w:r>
      <w:r>
        <w:rPr>
          <w:bCs/>
          <w:iCs/>
          <w:sz w:val="28"/>
          <w:szCs w:val="28"/>
        </w:rPr>
        <w:t>Tổ chức thực hiện</w:t>
      </w:r>
    </w:p>
    <w:p w14:paraId="475887CF">
      <w:pPr>
        <w:tabs>
          <w:tab w:val="left" w:pos="993"/>
        </w:tabs>
        <w:spacing w:after="120"/>
        <w:ind w:firstLine="709"/>
        <w:jc w:val="both"/>
        <w:rPr>
          <w:b/>
          <w:spacing w:val="-4"/>
          <w:lang w:val="it-IT"/>
        </w:rPr>
      </w:pPr>
      <w:r>
        <w:rPr>
          <w:b/>
          <w:spacing w:val="-4"/>
          <w:lang w:val="it-IT"/>
        </w:rPr>
        <w:t xml:space="preserve">4. </w:t>
      </w:r>
      <w:r>
        <w:rPr>
          <w:b/>
          <w:lang w:val="it-IT"/>
        </w:rPr>
        <w:t>Nội dung cơ bản</w:t>
      </w:r>
    </w:p>
    <w:p w14:paraId="40170AB6">
      <w:pPr>
        <w:tabs>
          <w:tab w:val="left" w:pos="993"/>
        </w:tabs>
        <w:spacing w:after="120"/>
        <w:ind w:firstLine="709"/>
        <w:jc w:val="both"/>
        <w:rPr>
          <w:lang w:val="vi-VN"/>
        </w:rPr>
      </w:pPr>
      <w:r>
        <w:t>Q</w:t>
      </w:r>
      <w:r>
        <w:rPr>
          <w:lang w:val="vi-VN"/>
        </w:rPr>
        <w:t xml:space="preserve">uy định đối tượng khách trong nước được mời cơm </w:t>
      </w:r>
      <w:r>
        <w:rPr>
          <w:bCs/>
          <w:lang w:val="nl-NL"/>
        </w:rPr>
        <w:t>áp dụng đối với các cơ quan, đơn vị, địa phương thuộc phạm vi quản lý của tỉnh Hà Tĩnh.</w:t>
      </w:r>
    </w:p>
    <w:p w14:paraId="458781D6">
      <w:pPr>
        <w:tabs>
          <w:tab w:val="left" w:pos="993"/>
        </w:tabs>
        <w:spacing w:after="120"/>
        <w:ind w:firstLine="709"/>
        <w:jc w:val="both"/>
        <w:rPr>
          <w:b/>
          <w:bCs/>
          <w:lang w:val="nl-NL"/>
        </w:rPr>
      </w:pPr>
      <w:r>
        <w:rPr>
          <w:b/>
          <w:bCs/>
          <w:lang w:val="nl-NL"/>
        </w:rPr>
        <w:t xml:space="preserve">VI. </w:t>
      </w:r>
      <w:r>
        <w:rPr>
          <w:b/>
        </w:rPr>
        <w:t>DỰ KIẾN THỜI GIAN TRÌNH BAN HÀNH</w:t>
      </w:r>
    </w:p>
    <w:p w14:paraId="4FF59FBD">
      <w:pPr>
        <w:tabs>
          <w:tab w:val="right" w:leader="dot" w:pos="8640"/>
        </w:tabs>
        <w:spacing w:before="60" w:after="60" w:line="288" w:lineRule="auto"/>
        <w:ind w:firstLine="709"/>
        <w:jc w:val="both"/>
        <w:rPr>
          <w:bCs/>
        </w:rPr>
      </w:pPr>
      <w:r>
        <w:rPr>
          <w:bCs/>
          <w:lang w:val="pl-PL"/>
        </w:rPr>
        <w:t xml:space="preserve">Trình Ủy ban nhân dân tỉnh xem xét, thông qua dự thảo Quyết định tại </w:t>
      </w:r>
      <w:r>
        <w:rPr>
          <w:bCs/>
        </w:rPr>
        <w:t>phiên họp UBND tỉnh tháng  .... năm 2026.</w:t>
      </w:r>
    </w:p>
    <w:p w14:paraId="51439C63">
      <w:pPr>
        <w:pStyle w:val="5"/>
        <w:tabs>
          <w:tab w:val="left" w:pos="993"/>
          <w:tab w:val="left" w:pos="1200"/>
        </w:tabs>
        <w:spacing w:before="0"/>
        <w:ind w:firstLine="709"/>
        <w:jc w:val="both"/>
        <w:rPr>
          <w:rFonts w:ascii="Times New Roman" w:hAnsi="Times New Roman"/>
          <w:b w:val="0"/>
          <w:szCs w:val="28"/>
          <w:lang w:val="nl-NL"/>
        </w:rPr>
      </w:pPr>
      <w:r>
        <w:rPr>
          <w:rFonts w:ascii="Times New Roman" w:hAnsi="Times New Roman"/>
          <w:b w:val="0"/>
          <w:szCs w:val="28"/>
          <w:lang w:val="en-US"/>
        </w:rPr>
        <w:t xml:space="preserve">Trên đây là Tờ trình dự thảo Quyết định của UBND tỉnh ban hành quy định đối tượng khách trong nước được mời cơm áp dụng đối với các cơ quan, đơn vị, địa phương thuộc phạm vi quản lý của tỉnh Hà Tĩnh, Sở Tài chính kính trình UBND tỉnh xem xét, quyết định </w:t>
      </w:r>
      <w:r>
        <w:rPr>
          <w:rFonts w:ascii="Times New Roman" w:hAnsi="Times New Roman"/>
          <w:b w:val="0"/>
          <w:i/>
          <w:szCs w:val="28"/>
          <w:lang w:val="en-US"/>
        </w:rPr>
        <w:t>(Có Dự thảo Quyết định và các tài liệu kèm theo)</w:t>
      </w:r>
      <w:r>
        <w:rPr>
          <w:rFonts w:ascii="Times New Roman" w:hAnsi="Times New Roman"/>
          <w:b w:val="0"/>
          <w:szCs w:val="28"/>
          <w:lang w:val="nl-NL"/>
        </w:rPr>
        <w:t xml:space="preserve">./. </w:t>
      </w:r>
    </w:p>
    <w:p w14:paraId="29D36446">
      <w:pPr>
        <w:widowControl w:val="0"/>
        <w:tabs>
          <w:tab w:val="right" w:leader="dot" w:pos="7920"/>
        </w:tabs>
        <w:spacing w:after="120"/>
        <w:ind w:firstLine="720"/>
        <w:jc w:val="both"/>
        <w:rPr>
          <w:sz w:val="2"/>
          <w:szCs w:val="2"/>
          <w:lang w:val="nl-NL"/>
        </w:rPr>
      </w:pPr>
    </w:p>
    <w:tbl>
      <w:tblPr>
        <w:tblStyle w:val="16"/>
        <w:tblW w:w="90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1"/>
        <w:gridCol w:w="4541"/>
      </w:tblGrid>
      <w:tr w14:paraId="4C566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4531" w:type="dxa"/>
          </w:tcPr>
          <w:p w14:paraId="2DBA90E5">
            <w:pPr>
              <w:jc w:val="both"/>
              <w:rPr>
                <w:b/>
                <w:i/>
                <w:sz w:val="24"/>
                <w:lang w:val="pt-BR"/>
              </w:rPr>
            </w:pPr>
            <w:r>
              <w:rPr>
                <w:b/>
                <w:i/>
                <w:sz w:val="24"/>
                <w:lang w:val="pt-BR"/>
              </w:rPr>
              <w:t>Nơi nhận:</w:t>
            </w:r>
          </w:p>
          <w:p w14:paraId="69557542">
            <w:pPr>
              <w:jc w:val="both"/>
              <w:rPr>
                <w:sz w:val="22"/>
                <w:lang w:val="pt-BR"/>
              </w:rPr>
            </w:pPr>
            <w:r>
              <w:rPr>
                <w:sz w:val="22"/>
                <w:lang w:val="pt-BR"/>
              </w:rPr>
              <w:t>- Như trên;</w:t>
            </w:r>
          </w:p>
          <w:p w14:paraId="0E805D8A">
            <w:pPr>
              <w:jc w:val="both"/>
              <w:rPr>
                <w:sz w:val="22"/>
                <w:lang w:val="pt-BR"/>
              </w:rPr>
            </w:pPr>
            <w:r>
              <w:rPr>
                <w:sz w:val="22"/>
                <w:lang w:val="pt-BR"/>
              </w:rPr>
              <w:t>- Sở Tư pháp;</w:t>
            </w:r>
          </w:p>
          <w:p w14:paraId="6D913492">
            <w:pPr>
              <w:jc w:val="both"/>
              <w:rPr>
                <w:sz w:val="22"/>
                <w:lang w:val="pt-BR"/>
              </w:rPr>
            </w:pPr>
            <w:r>
              <w:rPr>
                <w:sz w:val="22"/>
                <w:lang w:val="pt-BR"/>
              </w:rPr>
              <w:t>- Ban Giám đốc Sở (b</w:t>
            </w:r>
            <w:r>
              <w:rPr>
                <w:sz w:val="22"/>
                <w:lang w:val="vi-VN"/>
              </w:rPr>
              <w:t>/</w:t>
            </w:r>
            <w:r>
              <w:rPr>
                <w:sz w:val="22"/>
                <w:lang w:val="pt-BR"/>
              </w:rPr>
              <w:t>c);</w:t>
            </w:r>
          </w:p>
          <w:p w14:paraId="769AC324">
            <w:pPr>
              <w:jc w:val="both"/>
              <w:rPr>
                <w:sz w:val="22"/>
                <w:lang w:val="pt-BR"/>
              </w:rPr>
            </w:pPr>
            <w:r>
              <w:rPr>
                <w:sz w:val="22"/>
                <w:lang w:val="pt-BR"/>
              </w:rPr>
              <w:t xml:space="preserve">- Lưu: VT, QLN. </w:t>
            </w:r>
          </w:p>
        </w:tc>
        <w:tc>
          <w:tcPr>
            <w:tcW w:w="4541" w:type="dxa"/>
          </w:tcPr>
          <w:p w14:paraId="2A3D30E5">
            <w:pPr>
              <w:spacing w:line="252" w:lineRule="auto"/>
              <w:jc w:val="center"/>
              <w:rPr>
                <w:b/>
                <w:lang w:val="pt-BR"/>
              </w:rPr>
            </w:pPr>
            <w:r>
              <w:rPr>
                <w:b/>
                <w:lang w:val="pt-BR"/>
              </w:rPr>
              <w:t>KT. GIÁM ĐỐC</w:t>
            </w:r>
          </w:p>
          <w:p w14:paraId="08897B90">
            <w:pPr>
              <w:spacing w:line="252" w:lineRule="auto"/>
              <w:jc w:val="center"/>
              <w:rPr>
                <w:b/>
                <w:lang w:val="pt-BR"/>
              </w:rPr>
            </w:pPr>
            <w:r>
              <w:rPr>
                <w:b/>
                <w:lang w:val="pt-BR"/>
              </w:rPr>
              <w:t>PHÓ GIÁM ĐỐC</w:t>
            </w:r>
          </w:p>
          <w:p w14:paraId="1D5609E6">
            <w:pPr>
              <w:spacing w:line="252" w:lineRule="auto"/>
              <w:jc w:val="center"/>
              <w:rPr>
                <w:b/>
                <w:lang w:val="pt-BR"/>
              </w:rPr>
            </w:pPr>
          </w:p>
          <w:p w14:paraId="05ACA8B6">
            <w:pPr>
              <w:spacing w:line="252" w:lineRule="auto"/>
              <w:jc w:val="center"/>
              <w:rPr>
                <w:b/>
                <w:lang w:val="pt-BR"/>
              </w:rPr>
            </w:pPr>
          </w:p>
          <w:p w14:paraId="2C7DAECC">
            <w:pPr>
              <w:spacing w:line="252" w:lineRule="auto"/>
              <w:jc w:val="center"/>
              <w:rPr>
                <w:b/>
                <w:lang w:val="pt-BR"/>
              </w:rPr>
            </w:pPr>
          </w:p>
          <w:p w14:paraId="2C3CB5A2">
            <w:pPr>
              <w:spacing w:line="252" w:lineRule="auto"/>
              <w:jc w:val="center"/>
              <w:rPr>
                <w:b/>
                <w:lang w:val="pt-BR"/>
              </w:rPr>
            </w:pPr>
          </w:p>
          <w:p w14:paraId="08C67415">
            <w:pPr>
              <w:spacing w:line="252" w:lineRule="auto"/>
              <w:jc w:val="center"/>
              <w:rPr>
                <w:b/>
                <w:lang w:val="pt-BR"/>
              </w:rPr>
            </w:pPr>
            <w:r>
              <w:rPr>
                <w:b/>
                <w:lang w:val="pt-BR"/>
              </w:rPr>
              <w:br w:type="textWrapping"/>
            </w:r>
            <w:r>
              <w:rPr>
                <w:b/>
                <w:lang w:val="pt-BR"/>
              </w:rPr>
              <w:t>Đặng Trần Phong</w:t>
            </w:r>
          </w:p>
          <w:p w14:paraId="405FED98">
            <w:pPr>
              <w:spacing w:line="252" w:lineRule="auto"/>
              <w:jc w:val="both"/>
              <w:rPr>
                <w:b/>
                <w:lang w:val="pt-BR"/>
              </w:rPr>
            </w:pPr>
          </w:p>
          <w:p w14:paraId="3B2AC140">
            <w:pPr>
              <w:spacing w:line="252" w:lineRule="auto"/>
              <w:jc w:val="both"/>
              <w:rPr>
                <w:b/>
                <w:lang w:val="pt-BR"/>
              </w:rPr>
            </w:pPr>
          </w:p>
          <w:p w14:paraId="724496B4">
            <w:pPr>
              <w:spacing w:line="252" w:lineRule="auto"/>
              <w:jc w:val="center"/>
              <w:rPr>
                <w:b/>
                <w:lang w:val="vi-VN"/>
              </w:rPr>
            </w:pPr>
            <w:r>
              <w:rPr>
                <w:b/>
                <w:lang w:val="pt-BR"/>
              </w:rPr>
              <w:t xml:space="preserve"> </w:t>
            </w:r>
          </w:p>
        </w:tc>
      </w:tr>
    </w:tbl>
    <w:p w14:paraId="2A59A96F"/>
    <w:sectPr>
      <w:headerReference r:id="rId5" w:type="default"/>
      <w:pgSz w:w="11907" w:h="16840"/>
      <w:pgMar w:top="1134" w:right="1134" w:bottom="1134" w:left="1701" w:header="720" w:footer="720" w:gutter="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VnTime">
    <w:altName w:val="Courier New"/>
    <w:panose1 w:val="00000000000000000000"/>
    <w:charset w:val="00"/>
    <w:family w:val="swiss"/>
    <w:pitch w:val="default"/>
    <w:sig w:usb0="00000000" w:usb1="00000000" w:usb2="00000000" w:usb3="00000000" w:csb0="00000001" w:csb1="00000000"/>
  </w:font>
  <w:font w:name="Aptos">
    <w:altName w:val="Arial"/>
    <w:panose1 w:val="00000000000000000000"/>
    <w:charset w:val="00"/>
    <w:family w:val="swiss"/>
    <w:pitch w:val="default"/>
    <w:sig w:usb0="00000000"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6025706"/>
      <w:docPartObj>
        <w:docPartGallery w:val="AutoText"/>
      </w:docPartObj>
    </w:sdtPr>
    <w:sdtContent>
      <w:p w14:paraId="794AD75F">
        <w:pPr>
          <w:pStyle w:val="11"/>
          <w:jc w:val="center"/>
        </w:pPr>
        <w:r>
          <w:fldChar w:fldCharType="begin"/>
        </w:r>
        <w:r>
          <w:instrText xml:space="preserve"> PAGE   \* MERGEFORMAT </w:instrText>
        </w:r>
        <w:r>
          <w:fldChar w:fldCharType="separate"/>
        </w:r>
        <w:r>
          <w:t>2</w:t>
        </w:r>
        <w:r>
          <w:fldChar w:fldCharType="end"/>
        </w:r>
      </w:p>
    </w:sdtContent>
  </w:sdt>
  <w:p w14:paraId="5FD16BB5">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795892"/>
    <w:multiLevelType w:val="multilevel"/>
    <w:tmpl w:val="3779589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45E82718"/>
    <w:multiLevelType w:val="multilevel"/>
    <w:tmpl w:val="45E82718"/>
    <w:lvl w:ilvl="0" w:tentative="0">
      <w:start w:val="1"/>
      <w:numFmt w:val="upperRoman"/>
      <w:lvlText w:val="%1."/>
      <w:lvlJc w:val="left"/>
      <w:pPr>
        <w:ind w:left="1429" w:hanging="72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4B2"/>
    <w:rsid w:val="00016E6B"/>
    <w:rsid w:val="000177C5"/>
    <w:rsid w:val="00030591"/>
    <w:rsid w:val="00031FA0"/>
    <w:rsid w:val="00053F21"/>
    <w:rsid w:val="00072EC0"/>
    <w:rsid w:val="00080C48"/>
    <w:rsid w:val="00094E28"/>
    <w:rsid w:val="000B3555"/>
    <w:rsid w:val="000B36A6"/>
    <w:rsid w:val="000C106F"/>
    <w:rsid w:val="000C54D2"/>
    <w:rsid w:val="000C5760"/>
    <w:rsid w:val="000D25DB"/>
    <w:rsid w:val="000D312D"/>
    <w:rsid w:val="000E4918"/>
    <w:rsid w:val="00100EDE"/>
    <w:rsid w:val="001125A5"/>
    <w:rsid w:val="00120872"/>
    <w:rsid w:val="00122019"/>
    <w:rsid w:val="00131573"/>
    <w:rsid w:val="0013210C"/>
    <w:rsid w:val="0014132F"/>
    <w:rsid w:val="001460A4"/>
    <w:rsid w:val="0017044F"/>
    <w:rsid w:val="00171F37"/>
    <w:rsid w:val="00174002"/>
    <w:rsid w:val="0017733A"/>
    <w:rsid w:val="001A29D9"/>
    <w:rsid w:val="001C52F5"/>
    <w:rsid w:val="001D3389"/>
    <w:rsid w:val="001E13EA"/>
    <w:rsid w:val="001F0E3B"/>
    <w:rsid w:val="001F18F5"/>
    <w:rsid w:val="001F1E15"/>
    <w:rsid w:val="00205C98"/>
    <w:rsid w:val="00220568"/>
    <w:rsid w:val="00223D12"/>
    <w:rsid w:val="00224E2F"/>
    <w:rsid w:val="00232204"/>
    <w:rsid w:val="002467F8"/>
    <w:rsid w:val="00255A7C"/>
    <w:rsid w:val="00283843"/>
    <w:rsid w:val="002A3731"/>
    <w:rsid w:val="002A65C5"/>
    <w:rsid w:val="002B03FE"/>
    <w:rsid w:val="002B19E0"/>
    <w:rsid w:val="002B3615"/>
    <w:rsid w:val="002C7DD6"/>
    <w:rsid w:val="002E06A1"/>
    <w:rsid w:val="00331682"/>
    <w:rsid w:val="003422FA"/>
    <w:rsid w:val="003423F4"/>
    <w:rsid w:val="00355D1F"/>
    <w:rsid w:val="00355EF4"/>
    <w:rsid w:val="00356419"/>
    <w:rsid w:val="00356506"/>
    <w:rsid w:val="003600F7"/>
    <w:rsid w:val="00362869"/>
    <w:rsid w:val="00371942"/>
    <w:rsid w:val="003720FA"/>
    <w:rsid w:val="00372EF9"/>
    <w:rsid w:val="00386ABD"/>
    <w:rsid w:val="003E4DCE"/>
    <w:rsid w:val="003E7D14"/>
    <w:rsid w:val="003E7E32"/>
    <w:rsid w:val="003F127F"/>
    <w:rsid w:val="00405AB2"/>
    <w:rsid w:val="00423236"/>
    <w:rsid w:val="00425C9C"/>
    <w:rsid w:val="00427BBE"/>
    <w:rsid w:val="004458B4"/>
    <w:rsid w:val="004478F5"/>
    <w:rsid w:val="004516EE"/>
    <w:rsid w:val="004609E8"/>
    <w:rsid w:val="00466AA5"/>
    <w:rsid w:val="0049321A"/>
    <w:rsid w:val="00495FE8"/>
    <w:rsid w:val="004A19B2"/>
    <w:rsid w:val="004A1F95"/>
    <w:rsid w:val="004B246F"/>
    <w:rsid w:val="004B4BFF"/>
    <w:rsid w:val="004B5B5F"/>
    <w:rsid w:val="004D1BB6"/>
    <w:rsid w:val="004D3774"/>
    <w:rsid w:val="004E1F49"/>
    <w:rsid w:val="004E442D"/>
    <w:rsid w:val="004E52FF"/>
    <w:rsid w:val="004E759E"/>
    <w:rsid w:val="005006CA"/>
    <w:rsid w:val="00501539"/>
    <w:rsid w:val="0050742F"/>
    <w:rsid w:val="00524880"/>
    <w:rsid w:val="00536C79"/>
    <w:rsid w:val="005377AA"/>
    <w:rsid w:val="00543CFB"/>
    <w:rsid w:val="00547BB5"/>
    <w:rsid w:val="00553765"/>
    <w:rsid w:val="0055787B"/>
    <w:rsid w:val="00575DC4"/>
    <w:rsid w:val="005817DE"/>
    <w:rsid w:val="005A5EF0"/>
    <w:rsid w:val="005A7B89"/>
    <w:rsid w:val="005C4A52"/>
    <w:rsid w:val="005E0C96"/>
    <w:rsid w:val="005E0DA1"/>
    <w:rsid w:val="005F4201"/>
    <w:rsid w:val="00602E7B"/>
    <w:rsid w:val="00603215"/>
    <w:rsid w:val="00611B77"/>
    <w:rsid w:val="006246EB"/>
    <w:rsid w:val="00645155"/>
    <w:rsid w:val="006636BE"/>
    <w:rsid w:val="0066616A"/>
    <w:rsid w:val="00693CF1"/>
    <w:rsid w:val="006D332D"/>
    <w:rsid w:val="006E1397"/>
    <w:rsid w:val="006E2CAB"/>
    <w:rsid w:val="00714FCE"/>
    <w:rsid w:val="00724083"/>
    <w:rsid w:val="00724E39"/>
    <w:rsid w:val="007250DF"/>
    <w:rsid w:val="007252B4"/>
    <w:rsid w:val="00751752"/>
    <w:rsid w:val="00762780"/>
    <w:rsid w:val="007755B0"/>
    <w:rsid w:val="007775FD"/>
    <w:rsid w:val="00777B6F"/>
    <w:rsid w:val="00794751"/>
    <w:rsid w:val="00796435"/>
    <w:rsid w:val="00796989"/>
    <w:rsid w:val="007A4DF9"/>
    <w:rsid w:val="007A77F3"/>
    <w:rsid w:val="007C43CB"/>
    <w:rsid w:val="007D298F"/>
    <w:rsid w:val="007E2EDF"/>
    <w:rsid w:val="007F00B7"/>
    <w:rsid w:val="007F244A"/>
    <w:rsid w:val="007F447C"/>
    <w:rsid w:val="00804550"/>
    <w:rsid w:val="0080596B"/>
    <w:rsid w:val="00807B8D"/>
    <w:rsid w:val="0081250B"/>
    <w:rsid w:val="00817ACF"/>
    <w:rsid w:val="008312C1"/>
    <w:rsid w:val="0083559F"/>
    <w:rsid w:val="008556AA"/>
    <w:rsid w:val="00864507"/>
    <w:rsid w:val="0088676B"/>
    <w:rsid w:val="008A037D"/>
    <w:rsid w:val="008A0A52"/>
    <w:rsid w:val="008A73C8"/>
    <w:rsid w:val="008B07DB"/>
    <w:rsid w:val="008D2A11"/>
    <w:rsid w:val="00904E1D"/>
    <w:rsid w:val="009169B0"/>
    <w:rsid w:val="00936CC1"/>
    <w:rsid w:val="00946703"/>
    <w:rsid w:val="009644CC"/>
    <w:rsid w:val="009736E6"/>
    <w:rsid w:val="00983F48"/>
    <w:rsid w:val="00984526"/>
    <w:rsid w:val="009B229A"/>
    <w:rsid w:val="009C051A"/>
    <w:rsid w:val="009C45FC"/>
    <w:rsid w:val="009C6CED"/>
    <w:rsid w:val="009D68E2"/>
    <w:rsid w:val="009D7190"/>
    <w:rsid w:val="009E12A7"/>
    <w:rsid w:val="009E7237"/>
    <w:rsid w:val="009F4BC6"/>
    <w:rsid w:val="00A02348"/>
    <w:rsid w:val="00A1269E"/>
    <w:rsid w:val="00A56596"/>
    <w:rsid w:val="00A6324B"/>
    <w:rsid w:val="00A63666"/>
    <w:rsid w:val="00A66280"/>
    <w:rsid w:val="00A864C0"/>
    <w:rsid w:val="00A87F5A"/>
    <w:rsid w:val="00A9769A"/>
    <w:rsid w:val="00AA0077"/>
    <w:rsid w:val="00AE3A42"/>
    <w:rsid w:val="00B02BBD"/>
    <w:rsid w:val="00B2457A"/>
    <w:rsid w:val="00B34005"/>
    <w:rsid w:val="00B43BCB"/>
    <w:rsid w:val="00B46524"/>
    <w:rsid w:val="00B50A04"/>
    <w:rsid w:val="00B62CFA"/>
    <w:rsid w:val="00B73D2C"/>
    <w:rsid w:val="00BA0168"/>
    <w:rsid w:val="00BA6CC1"/>
    <w:rsid w:val="00BB41D4"/>
    <w:rsid w:val="00BB4845"/>
    <w:rsid w:val="00BC1664"/>
    <w:rsid w:val="00BC18CD"/>
    <w:rsid w:val="00BC300B"/>
    <w:rsid w:val="00BC55D3"/>
    <w:rsid w:val="00BC5EE8"/>
    <w:rsid w:val="00BC6F19"/>
    <w:rsid w:val="00BD1EEE"/>
    <w:rsid w:val="00BE64B2"/>
    <w:rsid w:val="00BE6845"/>
    <w:rsid w:val="00BF15E1"/>
    <w:rsid w:val="00C0320E"/>
    <w:rsid w:val="00C13C23"/>
    <w:rsid w:val="00C2605F"/>
    <w:rsid w:val="00C3379A"/>
    <w:rsid w:val="00C36AB9"/>
    <w:rsid w:val="00C4533D"/>
    <w:rsid w:val="00C52BD9"/>
    <w:rsid w:val="00C6028B"/>
    <w:rsid w:val="00C858D4"/>
    <w:rsid w:val="00C86668"/>
    <w:rsid w:val="00C86706"/>
    <w:rsid w:val="00C93796"/>
    <w:rsid w:val="00C94661"/>
    <w:rsid w:val="00CA62BB"/>
    <w:rsid w:val="00CA7FE6"/>
    <w:rsid w:val="00CB7ADD"/>
    <w:rsid w:val="00CC6208"/>
    <w:rsid w:val="00CD2335"/>
    <w:rsid w:val="00CE76AE"/>
    <w:rsid w:val="00CF121A"/>
    <w:rsid w:val="00CF7F94"/>
    <w:rsid w:val="00D02DBA"/>
    <w:rsid w:val="00D06901"/>
    <w:rsid w:val="00D22688"/>
    <w:rsid w:val="00D22DA7"/>
    <w:rsid w:val="00D36A7E"/>
    <w:rsid w:val="00D4410E"/>
    <w:rsid w:val="00D714D6"/>
    <w:rsid w:val="00D82461"/>
    <w:rsid w:val="00D96AE5"/>
    <w:rsid w:val="00DA4409"/>
    <w:rsid w:val="00DB69D6"/>
    <w:rsid w:val="00DD0793"/>
    <w:rsid w:val="00DD2036"/>
    <w:rsid w:val="00DD4C5C"/>
    <w:rsid w:val="00DD56C8"/>
    <w:rsid w:val="00DE0EED"/>
    <w:rsid w:val="00DE386C"/>
    <w:rsid w:val="00DF462B"/>
    <w:rsid w:val="00DF669F"/>
    <w:rsid w:val="00DF675F"/>
    <w:rsid w:val="00E16170"/>
    <w:rsid w:val="00E46295"/>
    <w:rsid w:val="00E53D8C"/>
    <w:rsid w:val="00E61831"/>
    <w:rsid w:val="00E7004A"/>
    <w:rsid w:val="00E726FA"/>
    <w:rsid w:val="00E72AB4"/>
    <w:rsid w:val="00E753F8"/>
    <w:rsid w:val="00EC0ED3"/>
    <w:rsid w:val="00EC0FD5"/>
    <w:rsid w:val="00EC36C4"/>
    <w:rsid w:val="00EC3BB2"/>
    <w:rsid w:val="00ED38DA"/>
    <w:rsid w:val="00EE0B9A"/>
    <w:rsid w:val="00EE1EA2"/>
    <w:rsid w:val="00F254E3"/>
    <w:rsid w:val="00F4647F"/>
    <w:rsid w:val="00F52B1B"/>
    <w:rsid w:val="00F63551"/>
    <w:rsid w:val="00F71803"/>
    <w:rsid w:val="00F857F7"/>
    <w:rsid w:val="00F86B93"/>
    <w:rsid w:val="00FA1F71"/>
    <w:rsid w:val="00FB5473"/>
    <w:rsid w:val="00FC5BB7"/>
    <w:rsid w:val="00FE1AB5"/>
    <w:rsid w:val="00FF18BE"/>
    <w:rsid w:val="0BB66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kern w:val="0"/>
      <w:sz w:val="28"/>
      <w:szCs w:val="28"/>
      <w:lang w:val="en-US" w:eastAsia="en-US" w:bidi="ar-SA"/>
      <w14:ligatures w14:val="none"/>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2"/>
    <w:semiHidden/>
    <w:unhideWhenUsed/>
    <w:uiPriority w:val="99"/>
    <w:rPr>
      <w:rFonts w:ascii="Segoe UI" w:hAnsi="Segoe UI" w:cs="Segoe UI"/>
      <w:sz w:val="18"/>
      <w:szCs w:val="18"/>
    </w:rPr>
  </w:style>
  <w:style w:type="paragraph" w:styleId="5">
    <w:name w:val="Body Text"/>
    <w:basedOn w:val="1"/>
    <w:link w:val="24"/>
    <w:qFormat/>
    <w:uiPriority w:val="0"/>
    <w:pPr>
      <w:spacing w:before="120" w:after="120"/>
      <w:jc w:val="center"/>
    </w:pPr>
    <w:rPr>
      <w:rFonts w:ascii=".VnTime" w:hAnsi=".VnTime"/>
      <w:b/>
      <w:szCs w:val="20"/>
      <w:lang w:val="zh-CN" w:eastAsia="zh-CN"/>
    </w:rPr>
  </w:style>
  <w:style w:type="character" w:styleId="6">
    <w:name w:val="Emphasis"/>
    <w:basedOn w:val="2"/>
    <w:qFormat/>
    <w:uiPriority w:val="20"/>
    <w:rPr>
      <w:i/>
      <w:iCs/>
    </w:rPr>
  </w:style>
  <w:style w:type="paragraph" w:styleId="7">
    <w:name w:val="footer"/>
    <w:basedOn w:val="1"/>
    <w:link w:val="23"/>
    <w:qFormat/>
    <w:uiPriority w:val="0"/>
    <w:pPr>
      <w:tabs>
        <w:tab w:val="center" w:pos="4320"/>
        <w:tab w:val="right" w:pos="8640"/>
      </w:tabs>
    </w:pPr>
    <w:rPr>
      <w:sz w:val="24"/>
      <w:szCs w:val="24"/>
      <w:lang w:val="zh-CN" w:eastAsia="zh-CN"/>
    </w:rPr>
  </w:style>
  <w:style w:type="character" w:styleId="8">
    <w:name w:val="footnote reference"/>
    <w:basedOn w:val="2"/>
    <w:link w:val="9"/>
    <w:unhideWhenUsed/>
    <w:qFormat/>
    <w:uiPriority w:val="0"/>
    <w:rPr>
      <w:vertAlign w:val="superscript"/>
    </w:rPr>
  </w:style>
  <w:style w:type="paragraph" w:customStyle="1" w:styleId="9">
    <w:name w:val="Footnote Char"/>
    <w:basedOn w:val="1"/>
    <w:link w:val="8"/>
    <w:qFormat/>
    <w:uiPriority w:val="99"/>
    <w:pPr>
      <w:spacing w:after="160" w:line="240" w:lineRule="exact"/>
    </w:pPr>
    <w:rPr>
      <w:rFonts w:asciiTheme="minorHAnsi" w:hAnsiTheme="minorHAnsi" w:eastAsiaTheme="minorHAnsi" w:cstheme="minorBidi"/>
      <w:kern w:val="2"/>
      <w:sz w:val="22"/>
      <w:szCs w:val="22"/>
      <w:vertAlign w:val="superscript"/>
      <w14:ligatures w14:val="standardContextual"/>
    </w:rPr>
  </w:style>
  <w:style w:type="paragraph" w:styleId="10">
    <w:name w:val="footnote text"/>
    <w:basedOn w:val="1"/>
    <w:link w:val="19"/>
    <w:unhideWhenUsed/>
    <w:qFormat/>
    <w:uiPriority w:val="99"/>
    <w:pPr>
      <w:jc w:val="both"/>
    </w:pPr>
    <w:rPr>
      <w:rFonts w:eastAsiaTheme="minorHAnsi" w:cstheme="minorBidi"/>
      <w:sz w:val="20"/>
      <w:szCs w:val="20"/>
    </w:rPr>
  </w:style>
  <w:style w:type="paragraph" w:styleId="11">
    <w:name w:val="header"/>
    <w:basedOn w:val="1"/>
    <w:link w:val="28"/>
    <w:unhideWhenUsed/>
    <w:qFormat/>
    <w:uiPriority w:val="99"/>
    <w:pPr>
      <w:tabs>
        <w:tab w:val="center" w:pos="4680"/>
        <w:tab w:val="right" w:pos="9360"/>
      </w:tabs>
    </w:pPr>
  </w:style>
  <w:style w:type="character" w:styleId="12">
    <w:name w:val="Hyperlink"/>
    <w:basedOn w:val="2"/>
    <w:unhideWhenUsed/>
    <w:qFormat/>
    <w:uiPriority w:val="99"/>
    <w:rPr>
      <w:color w:val="0000FF"/>
      <w:u w:val="single"/>
    </w:rPr>
  </w:style>
  <w:style w:type="paragraph" w:styleId="13">
    <w:name w:val="Normal (Web)"/>
    <w:basedOn w:val="1"/>
    <w:unhideWhenUsed/>
    <w:uiPriority w:val="99"/>
    <w:pPr>
      <w:spacing w:before="100" w:beforeAutospacing="1" w:after="100" w:afterAutospacing="1"/>
    </w:pPr>
    <w:rPr>
      <w:sz w:val="24"/>
      <w:szCs w:val="24"/>
    </w:rPr>
  </w:style>
  <w:style w:type="character" w:styleId="14">
    <w:name w:val="Strong"/>
    <w:basedOn w:val="2"/>
    <w:qFormat/>
    <w:uiPriority w:val="22"/>
    <w:rPr>
      <w:b/>
      <w:bCs/>
    </w:rPr>
  </w:style>
  <w:style w:type="paragraph" w:styleId="15">
    <w:name w:val="Subtitle"/>
    <w:basedOn w:val="1"/>
    <w:next w:val="1"/>
    <w:link w:val="27"/>
    <w:qFormat/>
    <w:uiPriority w:val="11"/>
    <w:pPr>
      <w:spacing w:after="160" w:line="278" w:lineRule="auto"/>
    </w:pPr>
    <w:rPr>
      <w:rFonts w:ascii="Aptos" w:hAnsi="Aptos"/>
      <w:color w:val="595959"/>
      <w:spacing w:val="15"/>
      <w:kern w:val="2"/>
    </w:rPr>
  </w:style>
  <w:style w:type="table" w:styleId="16">
    <w:name w:val="Table Grid"/>
    <w:basedOn w:val="3"/>
    <w:qFormat/>
    <w:uiPriority w:val="59"/>
    <w:pPr>
      <w:spacing w:after="0" w:line="240" w:lineRule="auto"/>
      <w:jc w:val="both"/>
    </w:pPr>
    <w:rPr>
      <w:rFonts w:ascii="Times New Roman" w:hAnsi="Times New Roman"/>
      <w:kern w:val="0"/>
      <w:sz w:val="28"/>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Char4"/>
    <w:basedOn w:val="1"/>
    <w:semiHidden/>
    <w:qFormat/>
    <w:uiPriority w:val="0"/>
    <w:pPr>
      <w:spacing w:after="160" w:line="240" w:lineRule="exact"/>
    </w:pPr>
    <w:rPr>
      <w:rFonts w:ascii="Arial" w:hAnsi="Arial" w:cs="Arial"/>
      <w:sz w:val="22"/>
      <w:szCs w:val="22"/>
    </w:rPr>
  </w:style>
  <w:style w:type="paragraph" w:styleId="18">
    <w:name w:val="List Paragraph"/>
    <w:basedOn w:val="1"/>
    <w:qFormat/>
    <w:uiPriority w:val="34"/>
    <w:pPr>
      <w:ind w:left="720"/>
      <w:contextualSpacing/>
    </w:pPr>
  </w:style>
  <w:style w:type="character" w:customStyle="1" w:styleId="19">
    <w:name w:val="Footnote Text Char"/>
    <w:basedOn w:val="2"/>
    <w:link w:val="10"/>
    <w:qFormat/>
    <w:uiPriority w:val="99"/>
    <w:rPr>
      <w:rFonts w:ascii="Times New Roman" w:hAnsi="Times New Roman"/>
      <w:kern w:val="0"/>
      <w:sz w:val="20"/>
      <w:szCs w:val="20"/>
      <w14:ligatures w14:val="none"/>
    </w:rPr>
  </w:style>
  <w:style w:type="character" w:customStyle="1" w:styleId="20">
    <w:name w:val="fontstyle01"/>
    <w:basedOn w:val="2"/>
    <w:qFormat/>
    <w:uiPriority w:val="0"/>
    <w:rPr>
      <w:rFonts w:hint="default" w:ascii="Times New Roman" w:hAnsi="Times New Roman" w:cs="Times New Roman"/>
      <w:color w:val="000000"/>
      <w:sz w:val="28"/>
      <w:szCs w:val="28"/>
    </w:rPr>
  </w:style>
  <w:style w:type="table" w:customStyle="1" w:styleId="21">
    <w:name w:val="Table Grid1"/>
    <w:basedOn w:val="3"/>
    <w:qFormat/>
    <w:uiPriority w:val="59"/>
    <w:pPr>
      <w:spacing w:after="0" w:line="240" w:lineRule="auto"/>
    </w:pPr>
    <w:rPr>
      <w:rFonts w:ascii="Times New Roman" w:hAnsi="Times New Roman"/>
      <w:kern w:val="0"/>
      <w:sz w:val="28"/>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Balloon Text Char"/>
    <w:basedOn w:val="2"/>
    <w:link w:val="4"/>
    <w:semiHidden/>
    <w:uiPriority w:val="99"/>
    <w:rPr>
      <w:rFonts w:ascii="Segoe UI" w:hAnsi="Segoe UI" w:eastAsia="Times New Roman" w:cs="Segoe UI"/>
      <w:kern w:val="0"/>
      <w:sz w:val="18"/>
      <w:szCs w:val="18"/>
      <w14:ligatures w14:val="none"/>
    </w:rPr>
  </w:style>
  <w:style w:type="character" w:customStyle="1" w:styleId="23">
    <w:name w:val="Footer Char"/>
    <w:basedOn w:val="2"/>
    <w:link w:val="7"/>
    <w:qFormat/>
    <w:uiPriority w:val="99"/>
    <w:rPr>
      <w:rFonts w:ascii="Times New Roman" w:hAnsi="Times New Roman" w:eastAsia="Times New Roman" w:cs="Times New Roman"/>
      <w:kern w:val="0"/>
      <w:sz w:val="24"/>
      <w:szCs w:val="24"/>
      <w:lang w:val="zh-CN" w:eastAsia="zh-CN"/>
      <w14:ligatures w14:val="none"/>
    </w:rPr>
  </w:style>
  <w:style w:type="character" w:customStyle="1" w:styleId="24">
    <w:name w:val="Body Text Char"/>
    <w:basedOn w:val="2"/>
    <w:link w:val="5"/>
    <w:qFormat/>
    <w:uiPriority w:val="0"/>
    <w:rPr>
      <w:rFonts w:ascii=".VnTime" w:hAnsi=".VnTime" w:eastAsia="Times New Roman" w:cs="Times New Roman"/>
      <w:b/>
      <w:kern w:val="0"/>
      <w:sz w:val="28"/>
      <w:szCs w:val="20"/>
      <w:lang w:val="zh-CN" w:eastAsia="zh-CN"/>
      <w14:ligatures w14:val="none"/>
    </w:rPr>
  </w:style>
  <w:style w:type="paragraph" w:customStyle="1" w:styleId="25">
    <w:name w:val="Char Char1 Char Char Char Char1 Char Char Char Char Char Char Char Char"/>
    <w:basedOn w:val="1"/>
    <w:next w:val="1"/>
    <w:qFormat/>
    <w:uiPriority w:val="99"/>
    <w:pPr>
      <w:keepNext/>
      <w:spacing w:after="160" w:line="240" w:lineRule="exact"/>
    </w:pPr>
    <w:rPr>
      <w:rFonts w:asciiTheme="minorHAnsi" w:hAnsiTheme="minorHAnsi" w:eastAsiaTheme="minorHAnsi" w:cstheme="minorBidi"/>
      <w:kern w:val="2"/>
      <w:sz w:val="22"/>
      <w:szCs w:val="22"/>
      <w:vertAlign w:val="superscript"/>
      <w14:ligatures w14:val="standardContextual"/>
    </w:rPr>
  </w:style>
  <w:style w:type="character" w:customStyle="1" w:styleId="26">
    <w:name w:val="Unresolved Mention"/>
    <w:basedOn w:val="2"/>
    <w:semiHidden/>
    <w:unhideWhenUsed/>
    <w:uiPriority w:val="99"/>
    <w:rPr>
      <w:color w:val="605E5C"/>
      <w:shd w:val="clear" w:color="auto" w:fill="E1DFDD"/>
    </w:rPr>
  </w:style>
  <w:style w:type="character" w:customStyle="1" w:styleId="27">
    <w:name w:val="Subtitle Char"/>
    <w:basedOn w:val="2"/>
    <w:link w:val="15"/>
    <w:uiPriority w:val="11"/>
    <w:rPr>
      <w:rFonts w:ascii="Aptos" w:hAnsi="Aptos" w:eastAsia="Times New Roman" w:cs="Times New Roman"/>
      <w:color w:val="595959"/>
      <w:spacing w:val="15"/>
      <w:sz w:val="28"/>
      <w:szCs w:val="28"/>
      <w14:ligatures w14:val="none"/>
    </w:rPr>
  </w:style>
  <w:style w:type="character" w:customStyle="1" w:styleId="28">
    <w:name w:val="Header Char"/>
    <w:basedOn w:val="2"/>
    <w:link w:val="11"/>
    <w:qFormat/>
    <w:uiPriority w:val="99"/>
    <w:rPr>
      <w:rFonts w:ascii="Times New Roman" w:hAnsi="Times New Roman" w:eastAsia="Times New Roman" w:cs="Times New Roman"/>
      <w:kern w:val="0"/>
      <w:sz w:val="28"/>
      <w:szCs w:val="28"/>
      <w14:ligatures w14: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2E7BA0-A0AE-4B29-A596-0E82A84DDB04}">
  <ds:schemaRefs/>
</ds:datastoreItem>
</file>

<file path=docProps/app.xml><?xml version="1.0" encoding="utf-8"?>
<Properties xmlns="http://schemas.openxmlformats.org/officeDocument/2006/extended-properties" xmlns:vt="http://schemas.openxmlformats.org/officeDocument/2006/docPropsVTypes">
  <Template>Normal</Template>
  <Pages>4</Pages>
  <Words>1540</Words>
  <Characters>5521</Characters>
  <Lines>50</Lines>
  <Paragraphs>14</Paragraphs>
  <TotalTime>71</TotalTime>
  <ScaleCrop>false</ScaleCrop>
  <LinksUpToDate>false</LinksUpToDate>
  <CharactersWithSpaces>7046</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2026-09-21T03:44:00Z</dcterms:created>
  <dc:creator>Việt Phương</dc:creator>
  <cp:lastModifiedBy>user</cp:lastModifiedBy>
  <cp:lastPrinted>2026-07-31T10:57:00Z</cp:lastPrinted>
  <dcterms:modified xsi:type="dcterms:W3CDTF">2026-10-20T08:25:45Z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373B1AC25BDF4F52A77306A1B71729D9_13</vt:lpwstr>
  </property>
</Properties>
</file>