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5921"/>
      </w:tblGrid>
      <w:tr w14:paraId="26B9E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Pr>
          <w:p w14:paraId="25A3AB30">
            <w:pPr>
              <w:spacing w:after="0" w:line="272" w:lineRule="auto"/>
              <w:ind w:right="0" w:firstLine="0"/>
              <w:jc w:val="center"/>
              <w:rPr>
                <w:b/>
                <w:color w:val="auto"/>
                <w:sz w:val="26"/>
              </w:rPr>
            </w:pPr>
            <w:bookmarkStart w:id="2" w:name="_GoBack"/>
            <w:bookmarkEnd w:id="2"/>
            <w:r>
              <w:rPr>
                <w:b/>
                <w:color w:val="auto"/>
                <w:sz w:val="26"/>
              </w:rPr>
              <w:t>ỦY BAN NHÂN DÂN</w:t>
            </w:r>
          </w:p>
          <w:p w14:paraId="106C2D1D">
            <w:pPr>
              <w:spacing w:after="0" w:line="272" w:lineRule="auto"/>
              <w:ind w:right="0" w:firstLine="0"/>
              <w:jc w:val="center"/>
              <w:rPr>
                <w:b/>
                <w:color w:val="auto"/>
                <w:sz w:val="26"/>
              </w:rPr>
            </w:pPr>
            <w:r>
              <w:rPr>
                <w:b/>
                <w:color w:val="auto"/>
                <w:sz w:val="26"/>
              </w:rPr>
              <mc:AlternateContent>
                <mc:Choice Requires="wps">
                  <w:drawing>
                    <wp:anchor distT="0" distB="0" distL="114300" distR="114300" simplePos="0" relativeHeight="251659264" behindDoc="0" locked="0" layoutInCell="1" allowOverlap="1">
                      <wp:simplePos x="0" y="0"/>
                      <wp:positionH relativeFrom="column">
                        <wp:posOffset>419735</wp:posOffset>
                      </wp:positionH>
                      <wp:positionV relativeFrom="paragraph">
                        <wp:posOffset>191770</wp:posOffset>
                      </wp:positionV>
                      <wp:extent cx="986155" cy="0"/>
                      <wp:effectExtent l="0" t="0" r="24130" b="19050"/>
                      <wp:wrapNone/>
                      <wp:docPr id="157613760" name="Straight Connector 6"/>
                      <wp:cNvGraphicFramePr/>
                      <a:graphic xmlns:a="http://schemas.openxmlformats.org/drawingml/2006/main">
                        <a:graphicData uri="http://schemas.microsoft.com/office/word/2010/wordprocessingShape">
                          <wps:wsp>
                            <wps:cNvCnPr/>
                            <wps:spPr>
                              <a:xfrm>
                                <a:off x="0" y="0"/>
                                <a:ext cx="9859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o:spt="20" style="position:absolute;left:0pt;margin-left:33.05pt;margin-top:15.1pt;height:0pt;width:77.65pt;z-index:251659264;mso-width-relative:page;mso-height-relative:page;" filled="f" stroked="t" coordsize="21600,21600" o:gfxdata="UEsDBAoAAAAAAIdO4kAAAAAAAAAAAAAAAAAEAAAAZHJzL1BLAwQUAAAACACHTuJAwnWlFNUAAAAI&#10;AQAADwAAAGRycy9kb3ducmV2LnhtbE2PsU7DMBCGdyTewbpKbNROQGkV4nRAYkBCAlIGRje+xqH2&#10;OcRuEt4eIwYY7/5f331X7RZn2YRj6D1JyNYCGFLrdU+dhLf9w/UWWIiKtLKeUMIXBtjVlxeVKrWf&#10;6RWnJnYsQSiUSoKJcSg5D61Bp8LaD0gpO/rRqZjGseN6VHOCO8tzIQruVE/pglED3htsT83ZJQpt&#10;Po+LHd9fnp/Mtpk/8HHaoJRXq0zcAYu4xL8y/OgndaiT08GfSQdmJRRFlpoSbkQOLOV5nt0CO/wu&#10;eF3x/w/U31BLAwQUAAAACACHTuJAzle1D9gBAAC7AwAADgAAAGRycy9lMm9Eb2MueG1srVNNb9sw&#10;DL0P2H8QdF+cpIibGnF6SNBdhi1Atx+gyJItQF8g1Tj596Pk9HOXHuaDTFHkI98Ttbk/O8tOCtAE&#10;3/LFbM6Z8jJ0xvct//P74duaM0zCd8IGr1p+Ucjvt1+/bMbYqGUYgu0UMALx2Iyx5UNKsakqlINy&#10;AmchKk+HOoATibbQVx2IkdCdrZbzeV2NAboIQSpE8u6nQ35FhM8ABq2NVPsgn5zyaUIFZUUiSjiY&#10;iHxbutVayfRLa1SJ2ZYT01RWKkL2Ma/VdiOaHkQcjLy2ID7TwgdOThhPRV+g9iIJ9gTmHyhnJAQM&#10;Os1kcNVEpChCLBbzD9o8DiKqwoWkxvgiOv4/WPnzdABmOpqE1W29uLmtSRkvHF38YwJh+iGxXfCe&#10;hAzA6qzXGLGhtJ0/wHWH8QCZ/FmDy3+ixc5F48uLxuqcmCTn3Xp1Vy85k89H1WteBEzfVXAsGy23&#10;xmf2ohGnH5ioFoU+h2S3Dw/G2nKD1rOx5fXNirqXgqZS0zSQ6SIxQ99zJmxP4y4TFEQM1nQ5O+Mg&#10;9MedBXYSeUjKl3lStXdhufRe4DDFlaNpfJxJ9CKscS1fv822nkCyWpM+2TqG7lJkK36601LmOn95&#10;aN7uS/brm9v+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1pRTVAAAACAEAAA8AAAAAAAAAAQAg&#10;AAAAIgAAAGRycy9kb3ducmV2LnhtbFBLAQIUABQAAAAIAIdO4kDOV7UP2AEAALsDAAAOAAAAAAAA&#10;AAEAIAAAACQBAABkcnMvZTJvRG9jLnhtbFBLBQYAAAAABgAGAFkBAABuBQAAAAA=&#10;">
                      <v:fill on="f" focussize="0,0"/>
                      <v:stroke weight="0.5pt" color="#000000 [3200]" miterlimit="8" joinstyle="miter"/>
                      <v:imagedata o:title=""/>
                      <o:lock v:ext="edit" aspectratio="f"/>
                    </v:line>
                  </w:pict>
                </mc:Fallback>
              </mc:AlternateContent>
            </w:r>
            <w:r>
              <w:rPr>
                <w:b/>
                <w:color w:val="auto"/>
                <w:sz w:val="26"/>
              </w:rPr>
              <w:t>TỈNH HÀ TĨNH</w:t>
            </w:r>
          </w:p>
        </w:tc>
        <w:tc>
          <w:tcPr>
            <w:tcW w:w="5921" w:type="dxa"/>
          </w:tcPr>
          <w:p w14:paraId="5B610520">
            <w:pPr>
              <w:spacing w:after="0" w:line="272" w:lineRule="auto"/>
              <w:ind w:left="75" w:right="0" w:firstLine="0"/>
              <w:jc w:val="center"/>
              <w:rPr>
                <w:b/>
                <w:color w:val="auto"/>
                <w:sz w:val="24"/>
              </w:rPr>
            </w:pPr>
            <w:r>
              <w:rPr>
                <w:b/>
                <w:color w:val="auto"/>
                <w:sz w:val="26"/>
              </w:rPr>
              <w:t>CỘNG HÒA XÃ HỘI CHỦ NGHĨA VIỆT NAM</w:t>
            </w:r>
          </w:p>
          <w:p w14:paraId="578E6E35">
            <w:pPr>
              <w:spacing w:after="0" w:line="272" w:lineRule="auto"/>
              <w:ind w:left="75" w:right="0" w:firstLine="0"/>
              <w:jc w:val="center"/>
              <w:rPr>
                <w:color w:val="auto"/>
              </w:rPr>
            </w:pPr>
            <w:r>
              <w:rPr>
                <w:b/>
                <w:color w:val="auto"/>
              </w:rPr>
              <mc:AlternateContent>
                <mc:Choice Requires="wps">
                  <w:drawing>
                    <wp:anchor distT="0" distB="0" distL="114300" distR="114300" simplePos="0" relativeHeight="251660288" behindDoc="0" locked="0" layoutInCell="1" allowOverlap="1">
                      <wp:simplePos x="0" y="0"/>
                      <wp:positionH relativeFrom="column">
                        <wp:posOffset>889635</wp:posOffset>
                      </wp:positionH>
                      <wp:positionV relativeFrom="paragraph">
                        <wp:posOffset>207645</wp:posOffset>
                      </wp:positionV>
                      <wp:extent cx="1955800" cy="0"/>
                      <wp:effectExtent l="0" t="0" r="0" b="0"/>
                      <wp:wrapNone/>
                      <wp:docPr id="670432908" name="Straight Connector 7"/>
                      <wp:cNvGraphicFramePr/>
                      <a:graphic xmlns:a="http://schemas.openxmlformats.org/drawingml/2006/main">
                        <a:graphicData uri="http://schemas.microsoft.com/office/word/2010/wordprocessingShape">
                          <wps:wsp>
                            <wps:cNvCnPr/>
                            <wps:spPr>
                              <a:xfrm>
                                <a:off x="0" y="0"/>
                                <a:ext cx="1956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o:spt="20" style="position:absolute;left:0pt;margin-left:70.05pt;margin-top:16.35pt;height:0pt;width:154pt;z-index:251660288;mso-width-relative:page;mso-height-relative:page;" filled="f" stroked="t" coordsize="21600,21600" o:gfxdata="UEsDBAoAAAAAAIdO4kAAAAAAAAAAAAAAAAAEAAAAZHJzL1BLAwQUAAAACACHTuJAcdnADNUAAAAJ&#10;AQAADwAAAGRycy9kb3ducmV2LnhtbE2PQU+EMBCF7yb+h2ZMvLmFlQhByh5MPJiYqKwHj12YpSid&#10;YtsF/PeO8aDH9+bLm/eq3WpHMaMPgyMF6SYBgdS6bqBewev+/qoAEaKmTo+OUMEXBtjV52eVLju3&#10;0AvOTewFh1AotQIT41RKGVqDVoeNm5D4dnTe6sjS97LzeuFwO8ptktxIqwfiD0ZPeGew/WhOllMo&#10;/zyuo397fno0RbO848Oco1KXF2lyCyLiGv9g+KnP1aHmTgd3oi6IkXWWpIwquN7mIBjIsoKNw68h&#10;60r+X1B/A1BLAwQUAAAACACHTuJAfK4bStgBAAC8AwAADgAAAGRycy9lMm9Eb2MueG1srVPLbtsw&#10;ELwX6D8QvMeSncZJBMs52EgvRWsg7QfQFCkR4Au7jGX/fZeU46TpJYfoQC33McsZLlcPR2fZQQGa&#10;4Fs+n9WcKS9DZ3zf8j+/H6/uOMMkfCds8KrlJ4X8Yf31y2qMjVqEIdhOASMQj80YWz6kFJuqQjko&#10;J3AWovIU1AGcSLSFvupAjITubLWo62U1BugiBKkQybudgvyMCB8BDFobqbZBPjvl04QKyopElHAw&#10;Efm6nFZrJdMvrVElZltOTFNZqQnZ+7xW65VoehBxMPJ8BPGRI7zj5ITx1PQCtRVJsGcw/0E5IyFg&#10;0Gkmg6smIkURYjGv32nzNIioCheSGuNFdPw8WPnzsANmupYvb+tv14v7mq7fC0cX/5RAmH5IbBO8&#10;JyEDsNus1xixobKN38F5h3EHmfxRg8t/osWORePTRWN1TEySc35/s6wXJL98iVWvhREwfVfBsWy0&#10;3Bqf6YtGHH5gomaU+pKS3T48GmvLFVrPRuJwfZORBY2lpnEg00Wihr7nTNie5l0mKIgYrOlydcZB&#10;6PcbC+wg8pSULxOlbv+k5dZbgcOUV0LT/DiT6ElY41p+97baegLJck0CZWsfulPRrfjpUkub8wDm&#10;qXm7L9Wvj279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HZwAzVAAAACQEAAA8AAAAAAAAAAQAg&#10;AAAAIgAAAGRycy9kb3ducmV2LnhtbFBLAQIUABQAAAAIAIdO4kB8rhtK2AEAALwDAAAOAAAAAAAA&#10;AAEAIAAAACQBAABkcnMvZTJvRG9jLnhtbFBLBQYAAAAABgAGAFkBAABuBQAAAAA=&#10;">
                      <v:fill on="f" focussize="0,0"/>
                      <v:stroke weight="0.5pt" color="#000000 [3200]" miterlimit="8" joinstyle="miter"/>
                      <v:imagedata o:title=""/>
                      <o:lock v:ext="edit" aspectratio="f"/>
                    </v:line>
                  </w:pict>
                </mc:Fallback>
              </mc:AlternateContent>
            </w:r>
            <w:r>
              <w:rPr>
                <w:b/>
                <w:color w:val="auto"/>
              </w:rPr>
              <w:t>Độc lập - Tự do - Hạnh phúc</w:t>
            </w:r>
          </w:p>
        </w:tc>
      </w:tr>
      <w:tr w14:paraId="099F1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Pr>
          <w:p w14:paraId="1DB0C404">
            <w:pPr>
              <w:spacing w:before="120" w:after="0" w:line="272" w:lineRule="auto"/>
              <w:ind w:right="0" w:firstLine="0"/>
              <w:jc w:val="center"/>
              <w:rPr>
                <w:b/>
                <w:color w:val="auto"/>
                <w:sz w:val="26"/>
              </w:rPr>
            </w:pPr>
            <w:r>
              <w:rPr>
                <w:color w:val="auto"/>
                <w:sz w:val="26"/>
              </w:rPr>
              <w:t>Số:         /2026/QĐ-UBND</w:t>
            </w:r>
          </w:p>
        </w:tc>
        <w:tc>
          <w:tcPr>
            <w:tcW w:w="5921" w:type="dxa"/>
          </w:tcPr>
          <w:p w14:paraId="0B6EBF0D">
            <w:pPr>
              <w:spacing w:before="120" w:after="0" w:line="272" w:lineRule="auto"/>
              <w:ind w:left="75" w:right="0" w:firstLine="0"/>
              <w:rPr>
                <w:b/>
                <w:color w:val="auto"/>
                <w:sz w:val="26"/>
              </w:rPr>
            </w:pPr>
            <w:r>
              <w:rPr>
                <w:i/>
                <w:color w:val="auto"/>
              </w:rPr>
              <w:t xml:space="preserve">          Hà Tĩnh, ngày      tháng     năm 2026</w:t>
            </w:r>
          </w:p>
        </w:tc>
      </w:tr>
    </w:tbl>
    <w:p w14:paraId="5C0CDA6C">
      <w:pPr>
        <w:spacing w:after="0" w:line="272" w:lineRule="auto"/>
        <w:ind w:left="271" w:right="0" w:hanging="12"/>
        <w:jc w:val="left"/>
        <w:rPr>
          <w:b/>
          <w:color w:val="auto"/>
          <w:sz w:val="26"/>
        </w:rPr>
      </w:pPr>
      <w:r>
        <w:rPr>
          <w:b/>
          <w:color w:val="auto"/>
          <w:sz w:val="26"/>
        </w:rPr>
        <mc:AlternateContent>
          <mc:Choice Requires="wps">
            <w:drawing>
              <wp:anchor distT="0" distB="0" distL="114300" distR="114300" simplePos="0" relativeHeight="251661312" behindDoc="0" locked="0" layoutInCell="1" allowOverlap="1">
                <wp:simplePos x="0" y="0"/>
                <wp:positionH relativeFrom="column">
                  <wp:posOffset>215265</wp:posOffset>
                </wp:positionH>
                <wp:positionV relativeFrom="paragraph">
                  <wp:posOffset>125095</wp:posOffset>
                </wp:positionV>
                <wp:extent cx="1400175" cy="302260"/>
                <wp:effectExtent l="0" t="0" r="28575" b="22225"/>
                <wp:wrapNone/>
                <wp:docPr id="1884279184" name="Rectangle 8"/>
                <wp:cNvGraphicFramePr/>
                <a:graphic xmlns:a="http://schemas.openxmlformats.org/drawingml/2006/main">
                  <a:graphicData uri="http://schemas.microsoft.com/office/word/2010/wordprocessingShape">
                    <wps:wsp>
                      <wps:cNvSpPr/>
                      <wps:spPr>
                        <a:xfrm>
                          <a:off x="0" y="0"/>
                          <a:ext cx="1400175" cy="302150"/>
                        </a:xfrm>
                        <a:prstGeom prst="rect">
                          <a:avLst/>
                        </a:prstGeom>
                      </wps:spPr>
                      <wps:style>
                        <a:lnRef idx="2">
                          <a:schemeClr val="dk1"/>
                        </a:lnRef>
                        <a:fillRef idx="1">
                          <a:schemeClr val="lt1"/>
                        </a:fillRef>
                        <a:effectRef idx="0">
                          <a:schemeClr val="dk1"/>
                        </a:effectRef>
                        <a:fontRef idx="minor">
                          <a:schemeClr val="dk1"/>
                        </a:fontRef>
                      </wps:style>
                      <wps:txbx>
                        <w:txbxContent>
                          <w:p w14:paraId="338E4957">
                            <w:pPr>
                              <w:ind w:firstLine="0"/>
                              <w:jc w:val="center"/>
                              <w:rPr>
                                <w:b/>
                                <w:bCs/>
                              </w:rPr>
                            </w:pPr>
                            <w:r>
                              <w:rPr>
                                <w:b/>
                                <w:bCs/>
                              </w:rPr>
                              <w:t>DỰ THẢO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16.95pt;margin-top:9.85pt;height:23.8pt;width:110.25pt;z-index:251661312;v-text-anchor:middle;mso-width-relative:page;mso-height-relative:page;" fillcolor="#FFFFFF [3201]" filled="t" stroked="t" coordsize="21600,21600" o:gfxdata="UEsDBAoAAAAAAIdO4kAAAAAAAAAAAAAAAAAEAAAAZHJzL1BLAwQUAAAACACHTuJAvZimLNcAAAAI&#10;AQAADwAAAGRycy9kb3ducmV2LnhtbE2PvU7DQBCEeyTe4bRIdOQucUiI43MKBB2NHQroNvbGtrgf&#10;y3eJbZ6epYJydkYz32aHyRpxpSF03mlYLhQIcpWvO9doeD++PjyBCBFdjcY70jBTgEN+e5NhWvvR&#10;FXQtYyO4xIUUNbQx9qmUoWrJYlj4nhx7Zz9YjCyHRtYDjlxujVwptZEWO8cLLfb03FL1VV6sBiyn&#10;z3meP8ZRFkZ1L99FX74VWt/fLdUeRKQp/oXhF5/RIWemk7+4OgijIUl2nOT7bguC/dXjeg3ipGGz&#10;TUDmmfz/QP4DUEsDBBQAAAAIAIdO4kCBvyhldAIAAAsFAAAOAAAAZHJzL2Uyb0RvYy54bWytVE1v&#10;2zAMvQ/YfxB0X21n6ZIGdYqgQYYBxVasG3ZWZNkWoK9Jykf36/cku23a9dDDfJBJkSL5nkhdXh21&#10;Invhg7SmptVZSYkw3DbSdDX9+WPzYU5JiMw0TFkjanovAr1avn93eXALMbG9VY3wBEFMWBxcTfsY&#10;3aIoAu+FZuHMOmFgbK3XLEL1XdF4dkB0rYpJWX4qDtY3zlsuQsDuejDSMaJ/S0DbtpKLteU7LUwc&#10;onqhWASk0EsX6DJX27aCx29tG0QkqqZAGvOKJJC3aS2Wl2zReeZ6yccS2FtKeIFJM2mQ9DHUmkVG&#10;dl7+E0pL7m2wbTzjVhcDkMwIUFTlC27ueuZExgKqg3skPfy/sPzr/tYT2aAT5vPpZHZRzaeUGKZx&#10;89/BHjOdEmSeeDq4sID7nbv1oxYgJtDH1uv0BxxyzNzeP3IrjpFwbFbTsqxm55Rw2D6Wk+o8k188&#10;nXY+xM/CapKEmnpkz5Sy/U2IyAjXB5eULFglm41UKiu+214rT/YM97zJXyoZR565KUMOKGUyK3H/&#10;nKF7W3QNRO3AQDAdJUx1GAsefc797HQ4TVLm77Ukqcg1C/1QTI6Q3NhCy4jJUVLXdH56WhlUmtgd&#10;+ExSPG6PI8lb29zjirwdejc4vpHIcMNCvGUezQooGOf4DUurLPDZUaKkt/7Pa/vJHz0EKyUHND+w&#10;/94xLyhRXwy666KaTtO0ZGV6PptA8aeW7anF7PS1Be8VHg7Hs5j8o3oQW2/1L0z9KmWFiRmO3APL&#10;o3Idh6HEu8HFapXdMCGOxRtz53gKnig0drWLtpW5HxJRAzsjf5iRfOfjPKchPNWz19Mbtvw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vZimLNcAAAAIAQAADwAAAAAAAAABACAAAAAiAAAAZHJzL2Rv&#10;d25yZXYueG1sUEsBAhQAFAAAAAgAh07iQIG/KGV0AgAACwUAAA4AAAAAAAAAAQAgAAAAJgEAAGRy&#10;cy9lMm9Eb2MueG1sUEsFBgAAAAAGAAYAWQEAAAwGAAAAAA==&#10;">
                <v:fill on="t" focussize="0,0"/>
                <v:stroke weight="1pt" color="#000000 [3200]" miterlimit="8" joinstyle="miter"/>
                <v:imagedata o:title=""/>
                <o:lock v:ext="edit" aspectratio="f"/>
                <v:textbox>
                  <w:txbxContent>
                    <w:p w14:paraId="338E4957">
                      <w:pPr>
                        <w:ind w:firstLine="0"/>
                        <w:jc w:val="center"/>
                        <w:rPr>
                          <w:b/>
                          <w:bCs/>
                        </w:rPr>
                      </w:pPr>
                      <w:r>
                        <w:rPr>
                          <w:b/>
                          <w:bCs/>
                        </w:rPr>
                        <w:t>DỰ THẢO</w:t>
                      </w:r>
                    </w:p>
                  </w:txbxContent>
                </v:textbox>
              </v:rect>
            </w:pict>
          </mc:Fallback>
        </mc:AlternateContent>
      </w:r>
    </w:p>
    <w:p w14:paraId="7FB36B2D">
      <w:pPr>
        <w:tabs>
          <w:tab w:val="center" w:pos="6087"/>
        </w:tabs>
        <w:spacing w:after="0" w:line="263" w:lineRule="auto"/>
        <w:ind w:right="0" w:firstLine="0"/>
        <w:jc w:val="left"/>
        <w:rPr>
          <w:color w:val="auto"/>
        </w:rPr>
      </w:pPr>
    </w:p>
    <w:p w14:paraId="47BF604B">
      <w:pPr>
        <w:pStyle w:val="2"/>
        <w:spacing w:after="13"/>
        <w:ind w:left="187" w:right="183"/>
        <w:jc w:val="center"/>
        <w:rPr>
          <w:b w:val="0"/>
          <w:color w:val="auto"/>
        </w:rPr>
      </w:pPr>
      <w:r>
        <w:rPr>
          <w:color w:val="auto"/>
        </w:rPr>
        <w:t>QUYẾT ĐỊNH</w:t>
      </w:r>
      <w:r>
        <w:rPr>
          <w:b w:val="0"/>
          <w:color w:val="auto"/>
        </w:rPr>
        <w:t xml:space="preserve"> </w:t>
      </w:r>
    </w:p>
    <w:p w14:paraId="537584E0">
      <w:pPr>
        <w:spacing w:before="120" w:line="340" w:lineRule="exact"/>
        <w:jc w:val="center"/>
        <w:rPr>
          <w:rFonts w:eastAsia="Calibri"/>
          <w:b/>
          <w:bCs/>
          <w:szCs w:val="22"/>
        </w:rPr>
      </w:pPr>
      <w:r>
        <w:rPr>
          <w:b/>
          <w:bCs/>
          <w:color w:val="auto"/>
        </w:rPr>
        <w:t xml:space="preserve">Ban hành </w:t>
      </w:r>
      <w:r>
        <w:rPr>
          <w:rFonts w:eastAsia="Calibri"/>
          <w:b/>
          <w:bCs/>
          <w:szCs w:val="22"/>
        </w:rPr>
        <w:t>Quy chế phối hợp về xây dựng cơ sở dữ liệu, chia sẻ, cung cấp thông tin, dữ liệu về nhà ở và thị trường bất động sản; cung cấp thông tin về nhà ở để thiết lập hồ sơ nhà ở trên địa bàn tỉnh Hà Tĩnh</w:t>
      </w:r>
    </w:p>
    <w:p w14:paraId="6AA603FF">
      <w:pPr>
        <w:pStyle w:val="2"/>
        <w:spacing w:after="13"/>
        <w:ind w:left="0" w:right="183" w:firstLine="0"/>
        <w:jc w:val="center"/>
        <w:rPr>
          <w:color w:val="auto"/>
        </w:rPr>
      </w:pPr>
    </w:p>
    <w:p w14:paraId="5C19F13C">
      <w:pPr>
        <w:widowControl w:val="0"/>
        <w:spacing w:before="120" w:after="0" w:line="340" w:lineRule="exact"/>
        <w:ind w:right="0" w:firstLine="567"/>
        <w:rPr>
          <w:color w:val="auto"/>
        </w:rPr>
      </w:pPr>
      <w:r>
        <w:rPr>
          <w:i/>
          <w:color w:val="auto"/>
        </w:rPr>
        <w:t xml:space="preserve">Căn cứ Luật Tổ chức chính quyền địa phương số 72/2025/QH15;  </w:t>
      </w:r>
    </w:p>
    <w:p w14:paraId="4CBA4DE8">
      <w:pPr>
        <w:widowControl w:val="0"/>
        <w:spacing w:before="120" w:after="0" w:line="340" w:lineRule="exact"/>
        <w:ind w:right="0" w:firstLine="567"/>
        <w:rPr>
          <w:color w:val="auto"/>
        </w:rPr>
      </w:pPr>
      <w:r>
        <w:rPr>
          <w:i/>
          <w:color w:val="auto"/>
        </w:rPr>
        <w:t xml:space="preserve">Căn cứ Luật Kinh doanh bất động sản số 29/2023/QH15 được sửa đổi, bổ sung bởi Luật số 43/2024/QH15; </w:t>
      </w:r>
    </w:p>
    <w:p w14:paraId="57644FEA">
      <w:pPr>
        <w:widowControl w:val="0"/>
        <w:spacing w:before="120" w:after="0" w:line="340" w:lineRule="exact"/>
        <w:ind w:right="0" w:firstLine="567"/>
        <w:rPr>
          <w:color w:val="auto"/>
        </w:rPr>
      </w:pPr>
      <w:r>
        <w:rPr>
          <w:i/>
          <w:color w:val="auto"/>
        </w:rPr>
        <w:t xml:space="preserve">Căn cứ Luật Nhà ở số 27/2023/QH15 được sửa đổi, bổ sung bởi Luật số 43/2024/QH15; </w:t>
      </w:r>
    </w:p>
    <w:p w14:paraId="7BB74C7A">
      <w:pPr>
        <w:widowControl w:val="0"/>
        <w:spacing w:before="120" w:after="0" w:line="340" w:lineRule="exact"/>
        <w:ind w:right="0" w:firstLine="567"/>
        <w:rPr>
          <w:color w:val="auto"/>
        </w:rPr>
      </w:pPr>
      <w:r>
        <w:rPr>
          <w:i/>
          <w:color w:val="auto"/>
        </w:rPr>
        <w:t xml:space="preserve">Căn cứ Luật Ban hành văn bản quy phạm pháp luật số 64/2025/QH15 được sửa đổi, bổ sung bởi Luật số 87/2025/QH15;  </w:t>
      </w:r>
    </w:p>
    <w:p w14:paraId="0BAC054C">
      <w:pPr>
        <w:widowControl w:val="0"/>
        <w:spacing w:before="120" w:after="0" w:line="340" w:lineRule="exact"/>
        <w:ind w:right="0" w:firstLine="567"/>
        <w:rPr>
          <w:color w:val="auto"/>
        </w:rPr>
      </w:pPr>
      <w:r>
        <w:rPr>
          <w:i/>
          <w:color w:val="auto"/>
        </w:rPr>
        <w:t>Căn cứ Nghị định số 357/2025/NĐ-CP ngày 31/12/2025 của Chính phủ</w:t>
      </w:r>
      <w:r>
        <w:rPr>
          <w:rFonts w:ascii="Arial" w:hAnsi="Arial" w:eastAsia="Arial" w:cs="Arial"/>
          <w:i/>
          <w:color w:val="auto"/>
          <w:sz w:val="18"/>
        </w:rPr>
        <w:t xml:space="preserve"> </w:t>
      </w:r>
      <w:r>
        <w:rPr>
          <w:i/>
          <w:color w:val="auto"/>
        </w:rPr>
        <w:t xml:space="preserve">về xây dựng và quản lý hệ thống thông tin, cơ sở dữ liệu về nhà ở và thị trường bất động sản; </w:t>
      </w:r>
    </w:p>
    <w:p w14:paraId="64F9BA22">
      <w:pPr>
        <w:widowControl w:val="0"/>
        <w:spacing w:before="120" w:after="0" w:line="340" w:lineRule="exact"/>
        <w:ind w:right="0" w:firstLine="567"/>
        <w:rPr>
          <w:color w:val="auto"/>
        </w:rPr>
      </w:pPr>
      <w:r>
        <w:rPr>
          <w:i/>
          <w:color w:val="auto"/>
        </w:rPr>
        <w:t>Căn cứ Nghị định số 140/2025/NĐ-CP ngày 12/6/2025 của Chính phủ quy định về phân định thẩm quyền của chính quyền địa phương 02 cấp trong lĩnh vực quản lý nhà nước của Bộ Xây dựng.</w:t>
      </w:r>
    </w:p>
    <w:p w14:paraId="1B0C6459">
      <w:pPr>
        <w:widowControl w:val="0"/>
        <w:spacing w:before="120" w:after="0" w:line="340" w:lineRule="exact"/>
        <w:ind w:right="0" w:firstLine="567"/>
        <w:rPr>
          <w:i/>
          <w:color w:val="auto"/>
        </w:rPr>
      </w:pPr>
      <w:r>
        <w:rPr>
          <w:i/>
          <w:color w:val="auto"/>
        </w:rPr>
        <w:t>Theo đề nghị của Giám đốc Sở Xây dựng tại Tờ trình số      /TTr-SXD ngày     tháng     năm 2026 (kèm theo báo cáo thẩm định và ý kiến bổ sung của Sở Tư pháp tại Văn bản số    /BC-STP ngày     tháng     năm 2026); ý kiến thống nhất của các Thành viên Ủy ban nhân dân tỉnh và Ban Thường vụ Đảng ủy Ủy ban nhân dân tỉnh (bằng phiếu biểu quyết).</w:t>
      </w:r>
    </w:p>
    <w:p w14:paraId="3C294DAB">
      <w:pPr>
        <w:widowControl w:val="0"/>
        <w:spacing w:before="120" w:after="0" w:line="340" w:lineRule="exact"/>
        <w:ind w:right="0" w:firstLine="567"/>
        <w:rPr>
          <w:i/>
          <w:color w:val="auto"/>
        </w:rPr>
      </w:pPr>
      <w:r>
        <w:rPr>
          <w:i/>
          <w:color w:val="auto"/>
        </w:rPr>
        <w:t>Ủy ban nhân dân tỉnh ban hành Quyết định Quy chế phối hợp về xây dựng cơ sở dữ liệu, chia sẻ, cung cấp thông tin, dữ liệu về nhà ở và thị trường bất động sản; cung cấp thông tin về nhà ở để thiết lập hồ sơ nhà ở trên địa bàn tỉnh Hà Tĩnh.</w:t>
      </w:r>
    </w:p>
    <w:p w14:paraId="7F192986">
      <w:pPr>
        <w:widowControl w:val="0"/>
        <w:spacing w:before="120" w:after="0" w:line="340" w:lineRule="exact"/>
        <w:ind w:firstLine="567"/>
        <w:rPr>
          <w:b/>
          <w:color w:val="auto"/>
          <w:spacing w:val="-2"/>
        </w:rPr>
      </w:pPr>
      <w:r>
        <w:rPr>
          <w:b/>
          <w:color w:val="auto"/>
          <w:spacing w:val="-2"/>
        </w:rPr>
        <w:t>Điều 1</w:t>
      </w:r>
      <w:r>
        <w:rPr>
          <w:color w:val="auto"/>
          <w:spacing w:val="-2"/>
        </w:rPr>
        <w:t>. Ban hành kèm theo Quyết định này</w:t>
      </w:r>
      <w:r>
        <w:rPr>
          <w:b/>
          <w:color w:val="auto"/>
          <w:spacing w:val="-2"/>
        </w:rPr>
        <w:t xml:space="preserve"> </w:t>
      </w:r>
      <w:r>
        <w:rPr>
          <w:color w:val="auto"/>
          <w:spacing w:val="-2"/>
          <w:szCs w:val="28"/>
        </w:rPr>
        <w:t>Quy chế phối hợp xây dựng</w:t>
      </w:r>
      <w:r>
        <w:rPr>
          <w:color w:val="auto"/>
          <w:spacing w:val="-2"/>
        </w:rPr>
        <w:t xml:space="preserve"> cơ sở dữ liệu, chia sẻ, cung cấp thông tin, dữ liệu về nhà ở và thị trường bất động sản; cung cấp thông tin về nhà ở để thiết lập hồ sơ nhà ở trên địa bàn tỉnh Hà Tĩnh.</w:t>
      </w:r>
      <w:r>
        <w:rPr>
          <w:b/>
          <w:color w:val="auto"/>
          <w:spacing w:val="-2"/>
        </w:rPr>
        <w:t xml:space="preserve"> </w:t>
      </w:r>
    </w:p>
    <w:p w14:paraId="20990923">
      <w:pPr>
        <w:widowControl w:val="0"/>
        <w:spacing w:before="120" w:after="0" w:line="340" w:lineRule="exact"/>
        <w:ind w:firstLine="567"/>
        <w:rPr>
          <w:b/>
          <w:color w:val="auto"/>
        </w:rPr>
      </w:pPr>
      <w:bookmarkStart w:id="0" w:name="dieu_2"/>
      <w:r>
        <w:rPr>
          <w:b/>
          <w:bCs/>
          <w:color w:val="auto"/>
          <w:szCs w:val="28"/>
        </w:rPr>
        <w:t>Điều 2.</w:t>
      </w:r>
      <w:bookmarkEnd w:id="0"/>
      <w:r>
        <w:rPr>
          <w:b/>
          <w:bCs/>
          <w:color w:val="auto"/>
          <w:szCs w:val="28"/>
        </w:rPr>
        <w:t xml:space="preserve"> </w:t>
      </w:r>
      <w:r>
        <w:rPr>
          <w:color w:val="auto"/>
          <w:szCs w:val="28"/>
        </w:rPr>
        <w:t>Quyết định này có hiệu lực thi hành kể từ ngày…tháng…năm 2026 và thay thế Quyết định số 47/2025/QĐ-UBND ngày 14/8/2025 của UBND tỉnh về việc Ban hành Quy chế phối hợp về xây dựng cơ sở dữ liệu, chia sẻ, cung cấp thông tin, dữ liệu về nhà ở và thị trường bất động sản; cung cấp thông tin về nhà ở để thiết lập hồ sơ nhà ở trên địa bàn tỉnh Hà Tĩnh</w:t>
      </w:r>
      <w:r>
        <w:rPr>
          <w:color w:val="auto"/>
        </w:rPr>
        <w:t>.</w:t>
      </w:r>
      <w:r>
        <w:rPr>
          <w:b/>
          <w:color w:val="auto"/>
        </w:rPr>
        <w:t xml:space="preserve"> </w:t>
      </w:r>
    </w:p>
    <w:p w14:paraId="11E228FA">
      <w:pPr>
        <w:widowControl w:val="0"/>
        <w:spacing w:before="120" w:after="240" w:line="288" w:lineRule="auto"/>
        <w:ind w:firstLine="567"/>
        <w:rPr>
          <w:color w:val="auto"/>
          <w:szCs w:val="28"/>
        </w:rPr>
      </w:pPr>
      <w:r>
        <w:rPr>
          <w:b/>
          <w:bCs/>
          <w:color w:val="auto"/>
          <w:szCs w:val="28"/>
        </w:rPr>
        <w:t xml:space="preserve">Điều 3. </w:t>
      </w:r>
      <w:bookmarkStart w:id="1" w:name="dieu_3_name"/>
      <w:r>
        <w:rPr>
          <w:color w:val="auto"/>
          <w:szCs w:val="28"/>
        </w:rPr>
        <w:t>Chánh Văn phòng Ủy ban nhân dân tỉnh, Giám đốc/Thủ trưởng các sở, ban, ngành, đơn vị cấp tỉnh, Chủ tịch UBND các phường, xã và các tổ chức, cá nhân có liên quan chịu trách nhiệm thi hành Quyết định này./.</w:t>
      </w:r>
    </w:p>
    <w:bookmarkEnd w:id="1"/>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1"/>
        <w:gridCol w:w="4531"/>
      </w:tblGrid>
      <w:tr w14:paraId="2565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1" w:type="dxa"/>
          </w:tcPr>
          <w:p w14:paraId="6B42C129">
            <w:pPr>
              <w:spacing w:after="0" w:line="240" w:lineRule="auto"/>
              <w:ind w:right="0" w:firstLine="0"/>
              <w:jc w:val="left"/>
              <w:rPr>
                <w:b/>
                <w:i/>
                <w:spacing w:val="-8"/>
                <w:kern w:val="0"/>
                <w:sz w:val="24"/>
                <w:szCs w:val="20"/>
                <w:lang w:val="vi-VN" w:eastAsia="en-SG"/>
                <w14:ligatures w14:val="none"/>
              </w:rPr>
            </w:pPr>
            <w:r>
              <w:rPr>
                <w:b/>
                <w:i/>
                <w:spacing w:val="-8"/>
                <w:kern w:val="0"/>
                <w:sz w:val="24"/>
                <w:szCs w:val="20"/>
                <w:lang w:val="vi-VN" w:eastAsia="en-SG"/>
                <w14:ligatures w14:val="none"/>
              </w:rPr>
              <w:t>Nơi nhận:</w:t>
            </w:r>
          </w:p>
          <w:p w14:paraId="03FA9A9F">
            <w:pPr>
              <w:spacing w:after="0" w:line="240" w:lineRule="auto"/>
              <w:ind w:right="0" w:firstLine="0"/>
              <w:jc w:val="left"/>
              <w:rPr>
                <w:b/>
                <w:bCs/>
                <w:spacing w:val="-8"/>
                <w:kern w:val="0"/>
                <w:szCs w:val="28"/>
                <w:lang w:val="vi-VN" w:eastAsia="en-SG"/>
                <w14:ligatures w14:val="none"/>
              </w:rPr>
            </w:pPr>
            <w:r>
              <w:rPr>
                <w:spacing w:val="-8"/>
                <w:kern w:val="0"/>
                <w:sz w:val="22"/>
                <w:szCs w:val="22"/>
                <w:lang w:val="vi-VN" w:eastAsia="en-SG"/>
                <w14:ligatures w14:val="none"/>
              </w:rPr>
              <w:t>- Như Điều 6;</w:t>
            </w:r>
          </w:p>
          <w:p w14:paraId="3A02E322">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Vụ Pháp chế - Bộ Xây dựng;</w:t>
            </w:r>
          </w:p>
          <w:p w14:paraId="475636B1">
            <w:pPr>
              <w:spacing w:after="0" w:line="240" w:lineRule="auto"/>
              <w:ind w:right="0" w:firstLine="0"/>
              <w:jc w:val="left"/>
              <w:rPr>
                <w:rFonts w:eastAsia="Calibri"/>
                <w:iCs/>
                <w:spacing w:val="-8"/>
                <w:kern w:val="0"/>
                <w:sz w:val="22"/>
                <w:szCs w:val="22"/>
                <w:lang w:val="vi-VN" w:eastAsia="en-SG"/>
                <w14:ligatures w14:val="none"/>
              </w:rPr>
            </w:pPr>
            <w:r>
              <w:rPr>
                <w:spacing w:val="-8"/>
                <w:kern w:val="0"/>
                <w:sz w:val="22"/>
                <w:szCs w:val="22"/>
                <w:lang w:val="vi-VN" w:eastAsia="en-SG"/>
                <w14:ligatures w14:val="none"/>
              </w:rPr>
              <w:t xml:space="preserve">- </w:t>
            </w:r>
            <w:r>
              <w:rPr>
                <w:rFonts w:eastAsia="Calibri"/>
                <w:iCs/>
                <w:spacing w:val="-8"/>
                <w:kern w:val="0"/>
                <w:sz w:val="22"/>
                <w:szCs w:val="22"/>
                <w:lang w:val="vi-VN" w:eastAsia="en-SG"/>
                <w14:ligatures w14:val="none"/>
              </w:rPr>
              <w:t>Cục KTVB và TCTHPL, Bộ Tư pháp;</w:t>
            </w:r>
          </w:p>
          <w:p w14:paraId="3A99E578">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TTr Tỉnh ủy, TTr HĐND tỉnh;</w:t>
            </w:r>
          </w:p>
          <w:p w14:paraId="74288D2E">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Chủ tịch, các PCT UBND tỉnh;</w:t>
            </w:r>
          </w:p>
          <w:p w14:paraId="0A659AFC">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Ban Pháp chế HĐND tỉnh;</w:t>
            </w:r>
          </w:p>
          <w:p w14:paraId="7D5230BF">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Sở Tư pháp;</w:t>
            </w:r>
          </w:p>
          <w:p w14:paraId="72A21190">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xml:space="preserve">- </w:t>
            </w:r>
            <w:r>
              <w:rPr>
                <w:spacing w:val="-8"/>
                <w:kern w:val="0"/>
                <w:sz w:val="22"/>
                <w:szCs w:val="22"/>
                <w:lang w:val="en-SG" w:eastAsia="en-SG"/>
                <w14:ligatures w14:val="none"/>
              </w:rPr>
              <w:t xml:space="preserve">Các </w:t>
            </w:r>
            <w:r>
              <w:rPr>
                <w:spacing w:val="-8"/>
                <w:kern w:val="0"/>
                <w:sz w:val="22"/>
                <w:szCs w:val="22"/>
                <w:lang w:val="vi-VN" w:eastAsia="en-SG"/>
                <w14:ligatures w14:val="none"/>
              </w:rPr>
              <w:t xml:space="preserve">PCVP </w:t>
            </w:r>
            <w:r>
              <w:rPr>
                <w:spacing w:val="-8"/>
                <w:kern w:val="0"/>
                <w:sz w:val="22"/>
                <w:szCs w:val="22"/>
                <w:lang w:val="en-SG" w:eastAsia="en-SG"/>
                <w14:ligatures w14:val="none"/>
              </w:rPr>
              <w:t>UBND tỉnh</w:t>
            </w:r>
            <w:r>
              <w:rPr>
                <w:spacing w:val="-8"/>
                <w:kern w:val="0"/>
                <w:sz w:val="22"/>
                <w:szCs w:val="22"/>
                <w:lang w:val="vi-VN" w:eastAsia="en-SG"/>
                <w14:ligatures w14:val="none"/>
              </w:rPr>
              <w:t>;</w:t>
            </w:r>
          </w:p>
          <w:p w14:paraId="653DA8CC">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Báo và Phát thanh truyền hình tỉnh;</w:t>
            </w:r>
          </w:p>
          <w:p w14:paraId="06215208">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xml:space="preserve">- Trung tâm Thông tin và </w:t>
            </w:r>
            <w:r>
              <w:rPr>
                <w:spacing w:val="-8"/>
                <w:kern w:val="0"/>
                <w:sz w:val="22"/>
                <w:szCs w:val="22"/>
                <w:lang w:val="en-SG" w:eastAsia="en-SG"/>
                <w14:ligatures w14:val="none"/>
              </w:rPr>
              <w:t>x</w:t>
            </w:r>
            <w:r>
              <w:rPr>
                <w:spacing w:val="-8"/>
                <w:kern w:val="0"/>
                <w:sz w:val="22"/>
                <w:szCs w:val="22"/>
                <w:lang w:val="vi-VN" w:eastAsia="en-SG"/>
                <w14:ligatures w14:val="none"/>
              </w:rPr>
              <w:t>úc tiến, hỗ trợ đầu tư tỉnh;</w:t>
            </w:r>
          </w:p>
          <w:p w14:paraId="7A80FF24">
            <w:pPr>
              <w:spacing w:after="0" w:line="240" w:lineRule="auto"/>
              <w:ind w:right="0" w:firstLine="0"/>
              <w:jc w:val="left"/>
              <w:rPr>
                <w:spacing w:val="-8"/>
                <w:kern w:val="0"/>
                <w:sz w:val="22"/>
                <w:szCs w:val="22"/>
                <w:lang w:val="vi-VN" w:eastAsia="en-SG"/>
                <w14:ligatures w14:val="none"/>
              </w:rPr>
            </w:pPr>
            <w:r>
              <w:rPr>
                <w:spacing w:val="-8"/>
                <w:kern w:val="0"/>
                <w:sz w:val="22"/>
                <w:szCs w:val="22"/>
                <w:lang w:val="vi-VN" w:eastAsia="en-SG"/>
                <w14:ligatures w14:val="none"/>
              </w:rPr>
              <w:t>- Cổng thông tin điện tử tỉnh;</w:t>
            </w:r>
          </w:p>
          <w:p w14:paraId="3539ACF0">
            <w:pPr>
              <w:spacing w:after="0" w:line="240" w:lineRule="auto"/>
              <w:ind w:right="0" w:firstLine="0"/>
              <w:rPr>
                <w:spacing w:val="-8"/>
                <w:kern w:val="0"/>
                <w:szCs w:val="28"/>
                <w:lang w:val="en-SG" w:eastAsia="en-SG"/>
                <w14:ligatures w14:val="none"/>
              </w:rPr>
            </w:pPr>
            <w:r>
              <w:rPr>
                <w:spacing w:val="-8"/>
                <w:kern w:val="0"/>
                <w:sz w:val="22"/>
                <w:szCs w:val="22"/>
                <w:lang w:val="vi-VN" w:eastAsia="en-SG"/>
                <w14:ligatures w14:val="none"/>
              </w:rPr>
              <w:t xml:space="preserve">- Lưu: VT, </w:t>
            </w:r>
            <w:r>
              <w:rPr>
                <w:spacing w:val="-8"/>
                <w:kern w:val="0"/>
                <w:sz w:val="22"/>
                <w:szCs w:val="22"/>
                <w:lang w:val="en-SG" w:eastAsia="en-SG"/>
                <w14:ligatures w14:val="none"/>
              </w:rPr>
              <w:t>XD</w:t>
            </w:r>
            <w:r>
              <w:rPr>
                <w:spacing w:val="-8"/>
                <w:kern w:val="0"/>
                <w:sz w:val="22"/>
                <w:szCs w:val="22"/>
                <w:vertAlign w:val="subscript"/>
                <w:lang w:val="en-SG" w:eastAsia="en-SG"/>
                <w14:ligatures w14:val="none"/>
              </w:rPr>
              <w:t>1</w:t>
            </w:r>
            <w:r>
              <w:rPr>
                <w:spacing w:val="-8"/>
                <w:kern w:val="0"/>
                <w:sz w:val="22"/>
                <w:szCs w:val="22"/>
                <w:lang w:val="vi-VN" w:eastAsia="en-SG"/>
                <w14:ligatures w14:val="none"/>
              </w:rPr>
              <w:t>.</w:t>
            </w:r>
          </w:p>
        </w:tc>
        <w:tc>
          <w:tcPr>
            <w:tcW w:w="4531" w:type="dxa"/>
          </w:tcPr>
          <w:p w14:paraId="6AA47A68">
            <w:pPr>
              <w:spacing w:after="0" w:line="240" w:lineRule="auto"/>
              <w:ind w:right="0" w:firstLine="0"/>
              <w:jc w:val="center"/>
              <w:rPr>
                <w:b/>
                <w:bCs/>
                <w:spacing w:val="-8"/>
                <w:kern w:val="0"/>
                <w:szCs w:val="28"/>
                <w:lang w:val="en-SG" w:eastAsia="en-SG"/>
                <w14:ligatures w14:val="none"/>
              </w:rPr>
            </w:pPr>
            <w:r>
              <w:rPr>
                <w:b/>
                <w:bCs/>
                <w:spacing w:val="-8"/>
                <w:kern w:val="0"/>
                <w:szCs w:val="28"/>
                <w:lang w:val="en-SG" w:eastAsia="en-SG"/>
                <w14:ligatures w14:val="none"/>
              </w:rPr>
              <w:t>TM. ỦY BAN NHÂN DÂN</w:t>
            </w:r>
          </w:p>
          <w:p w14:paraId="1FD4ADC9">
            <w:pPr>
              <w:spacing w:after="0" w:line="240" w:lineRule="auto"/>
              <w:ind w:right="0" w:firstLine="0"/>
              <w:jc w:val="center"/>
              <w:rPr>
                <w:b/>
                <w:bCs/>
                <w:spacing w:val="-8"/>
                <w:kern w:val="0"/>
                <w:szCs w:val="28"/>
                <w:lang w:val="en-SG" w:eastAsia="en-SG"/>
                <w14:ligatures w14:val="none"/>
              </w:rPr>
            </w:pPr>
            <w:r>
              <w:rPr>
                <w:b/>
                <w:bCs/>
                <w:spacing w:val="-8"/>
                <w:kern w:val="0"/>
                <w:szCs w:val="28"/>
                <w:lang w:val="en-SG" w:eastAsia="en-SG"/>
                <w14:ligatures w14:val="none"/>
              </w:rPr>
              <w:t>KT. CHỦ TỊCH</w:t>
            </w:r>
          </w:p>
          <w:p w14:paraId="299942ED">
            <w:pPr>
              <w:spacing w:after="0" w:line="240" w:lineRule="auto"/>
              <w:ind w:right="0" w:firstLine="0"/>
              <w:jc w:val="center"/>
              <w:rPr>
                <w:b/>
                <w:bCs/>
                <w:spacing w:val="-8"/>
                <w:kern w:val="0"/>
                <w:szCs w:val="28"/>
                <w:lang w:val="en-SG" w:eastAsia="en-SG"/>
                <w14:ligatures w14:val="none"/>
              </w:rPr>
            </w:pPr>
            <w:r>
              <w:rPr>
                <w:b/>
                <w:bCs/>
                <w:spacing w:val="-8"/>
                <w:kern w:val="0"/>
                <w:szCs w:val="28"/>
                <w:lang w:val="en-SG" w:eastAsia="en-SG"/>
                <w14:ligatures w14:val="none"/>
              </w:rPr>
              <w:t>PHÓ CHỦ TỊCH</w:t>
            </w:r>
          </w:p>
          <w:p w14:paraId="00B1F337">
            <w:pPr>
              <w:spacing w:after="0" w:line="240" w:lineRule="auto"/>
              <w:ind w:right="0" w:firstLine="0"/>
              <w:jc w:val="center"/>
              <w:rPr>
                <w:spacing w:val="-8"/>
                <w:kern w:val="0"/>
                <w:szCs w:val="28"/>
                <w:lang w:val="en-SG" w:eastAsia="en-SG"/>
                <w14:ligatures w14:val="none"/>
              </w:rPr>
            </w:pPr>
          </w:p>
          <w:p w14:paraId="08BAD3EC">
            <w:pPr>
              <w:spacing w:after="0" w:line="240" w:lineRule="auto"/>
              <w:ind w:right="0" w:firstLine="0"/>
              <w:jc w:val="center"/>
              <w:rPr>
                <w:spacing w:val="-8"/>
                <w:kern w:val="0"/>
                <w:szCs w:val="28"/>
                <w:lang w:val="en-SG" w:eastAsia="en-SG"/>
                <w14:ligatures w14:val="none"/>
              </w:rPr>
            </w:pPr>
          </w:p>
          <w:p w14:paraId="595477A3">
            <w:pPr>
              <w:spacing w:after="0" w:line="240" w:lineRule="auto"/>
              <w:ind w:right="0" w:firstLine="0"/>
              <w:jc w:val="center"/>
              <w:rPr>
                <w:spacing w:val="-8"/>
                <w:kern w:val="0"/>
                <w:szCs w:val="28"/>
                <w:lang w:val="en-SG" w:eastAsia="en-SG"/>
                <w14:ligatures w14:val="none"/>
              </w:rPr>
            </w:pPr>
          </w:p>
          <w:p w14:paraId="1ED83CD9">
            <w:pPr>
              <w:spacing w:after="0" w:line="240" w:lineRule="auto"/>
              <w:ind w:right="0" w:firstLine="0"/>
              <w:jc w:val="center"/>
              <w:rPr>
                <w:spacing w:val="-8"/>
                <w:kern w:val="0"/>
                <w:szCs w:val="28"/>
                <w:lang w:val="en-SG" w:eastAsia="en-SG"/>
                <w14:ligatures w14:val="none"/>
              </w:rPr>
            </w:pPr>
          </w:p>
          <w:p w14:paraId="2CD9FD1F">
            <w:pPr>
              <w:spacing w:after="0" w:line="240" w:lineRule="auto"/>
              <w:ind w:right="0" w:firstLine="0"/>
              <w:jc w:val="center"/>
              <w:rPr>
                <w:b/>
                <w:bCs/>
                <w:spacing w:val="-8"/>
                <w:kern w:val="0"/>
                <w:szCs w:val="28"/>
                <w:lang w:val="en-SG" w:eastAsia="en-SG"/>
                <w14:ligatures w14:val="none"/>
              </w:rPr>
            </w:pPr>
            <w:r>
              <w:rPr>
                <w:b/>
                <w:bCs/>
                <w:spacing w:val="-8"/>
                <w:kern w:val="0"/>
                <w:szCs w:val="28"/>
                <w:lang w:val="en-SG" w:eastAsia="en-SG"/>
                <w14:ligatures w14:val="none"/>
              </w:rPr>
              <w:t>Trần Báu Hà</w:t>
            </w:r>
          </w:p>
        </w:tc>
      </w:tr>
    </w:tbl>
    <w:p w14:paraId="40F9EF6F">
      <w:pPr>
        <w:rPr>
          <w:color w:val="auto"/>
          <w:szCs w:val="28"/>
        </w:rPr>
      </w:pPr>
    </w:p>
    <w:p w14:paraId="7D3EC789">
      <w:pPr>
        <w:rPr>
          <w:color w:val="auto"/>
          <w:szCs w:val="28"/>
        </w:rPr>
      </w:pPr>
    </w:p>
    <w:p w14:paraId="05EF48D3">
      <w:pPr>
        <w:rPr>
          <w:color w:val="auto"/>
          <w:szCs w:val="28"/>
        </w:rPr>
      </w:pPr>
    </w:p>
    <w:p w14:paraId="718BEE7C">
      <w:pPr>
        <w:rPr>
          <w:color w:val="auto"/>
          <w:szCs w:val="28"/>
        </w:rPr>
      </w:pPr>
    </w:p>
    <w:p w14:paraId="77AE78C5">
      <w:pPr>
        <w:rPr>
          <w:color w:val="auto"/>
          <w:szCs w:val="28"/>
        </w:rPr>
      </w:pPr>
    </w:p>
    <w:p w14:paraId="4ED2343C">
      <w:pPr>
        <w:rPr>
          <w:color w:val="auto"/>
          <w:szCs w:val="28"/>
        </w:rPr>
      </w:pPr>
    </w:p>
    <w:p w14:paraId="7281EB92">
      <w:pPr>
        <w:rPr>
          <w:color w:val="auto"/>
          <w:szCs w:val="28"/>
        </w:rPr>
      </w:pPr>
    </w:p>
    <w:p w14:paraId="3F11DFF0">
      <w:pPr>
        <w:rPr>
          <w:color w:val="auto"/>
          <w:szCs w:val="28"/>
        </w:rPr>
      </w:pPr>
    </w:p>
    <w:p w14:paraId="6DA0B63F">
      <w:pPr>
        <w:rPr>
          <w:color w:val="auto"/>
          <w:szCs w:val="28"/>
        </w:rPr>
      </w:pPr>
    </w:p>
    <w:p w14:paraId="1C5E02B3">
      <w:pPr>
        <w:rPr>
          <w:color w:val="auto"/>
          <w:szCs w:val="28"/>
        </w:rPr>
      </w:pPr>
    </w:p>
    <w:p w14:paraId="59B68178">
      <w:pPr>
        <w:rPr>
          <w:color w:val="auto"/>
          <w:szCs w:val="28"/>
        </w:rPr>
      </w:pPr>
    </w:p>
    <w:p w14:paraId="30700C93">
      <w:pPr>
        <w:rPr>
          <w:color w:val="auto"/>
          <w:szCs w:val="28"/>
        </w:rPr>
      </w:pPr>
    </w:p>
    <w:p w14:paraId="426881F0">
      <w:pPr>
        <w:rPr>
          <w:color w:val="auto"/>
          <w:szCs w:val="28"/>
        </w:rPr>
      </w:pPr>
    </w:p>
    <w:p w14:paraId="6844A5C8">
      <w:pPr>
        <w:rPr>
          <w:color w:val="auto"/>
          <w:szCs w:val="28"/>
        </w:rPr>
      </w:pPr>
    </w:p>
    <w:p w14:paraId="36103F54">
      <w:pPr>
        <w:rPr>
          <w:color w:val="auto"/>
          <w:szCs w:val="28"/>
        </w:rPr>
      </w:pPr>
    </w:p>
    <w:p w14:paraId="463C95D0">
      <w:pPr>
        <w:rPr>
          <w:color w:val="auto"/>
          <w:szCs w:val="28"/>
        </w:rPr>
      </w:pPr>
    </w:p>
    <w:p w14:paraId="2D7E1C6B">
      <w:pPr>
        <w:rPr>
          <w:color w:val="auto"/>
          <w:szCs w:val="28"/>
        </w:rPr>
      </w:pPr>
    </w:p>
    <w:p w14:paraId="3DF8B38E">
      <w:pPr>
        <w:rPr>
          <w:color w:val="auto"/>
          <w:szCs w:val="28"/>
        </w:rPr>
      </w:pPr>
    </w:p>
    <w:p w14:paraId="20C955A5">
      <w:pPr>
        <w:rPr>
          <w:color w:val="auto"/>
          <w:szCs w:val="28"/>
        </w:rPr>
      </w:pPr>
    </w:p>
    <w:p w14:paraId="23EF84BB">
      <w:pPr>
        <w:rPr>
          <w:color w:val="auto"/>
          <w:szCs w:val="28"/>
        </w:rPr>
      </w:pPr>
    </w:p>
    <w:p w14:paraId="43BDAA6F">
      <w:pPr>
        <w:keepNext/>
        <w:keepLines/>
        <w:spacing w:before="120" w:after="0" w:line="278" w:lineRule="auto"/>
        <w:ind w:right="182" w:firstLine="0"/>
        <w:jc w:val="center"/>
        <w:outlineLvl w:val="0"/>
        <w:rPr>
          <w:b/>
          <w:bCs/>
          <w:color w:val="auto"/>
          <w:szCs w:val="28"/>
        </w:rPr>
      </w:pPr>
      <w:r>
        <w:rPr>
          <w:b/>
          <w:bCs/>
          <w:color w:val="auto"/>
          <w:szCs w:val="28"/>
        </w:rPr>
        <w:t xml:space="preserve">QUY CHẾ </w:t>
      </w:r>
    </w:p>
    <w:p w14:paraId="15A2E3D8">
      <w:pPr>
        <w:keepNext/>
        <w:keepLines/>
        <w:spacing w:after="0" w:line="278" w:lineRule="auto"/>
        <w:ind w:right="182" w:firstLine="0"/>
        <w:jc w:val="center"/>
        <w:outlineLvl w:val="0"/>
        <w:rPr>
          <w:b/>
          <w:bCs/>
          <w:color w:val="auto"/>
          <w:szCs w:val="28"/>
        </w:rPr>
      </w:pPr>
      <w:r>
        <w:rPr>
          <w:b/>
          <w:bCs/>
          <w:color w:val="auto"/>
          <w:szCs w:val="28"/>
        </w:rPr>
        <w:t xml:space="preserve">Phối hợp về xây dựng cơ sở dữ liệu, chia sẻ, cung cấp thông tin, dữ liệu về nhà ở và thị trường bất động sản; cung cấp thông tin về nhà ở để thiết lập hồ sơ nhà ở trên địa bàn tỉnh Hà Tĩnh </w:t>
      </w:r>
    </w:p>
    <w:p w14:paraId="754F82DE">
      <w:pPr>
        <w:spacing w:after="57" w:line="259" w:lineRule="auto"/>
        <w:ind w:firstLine="0"/>
        <w:jc w:val="center"/>
        <w:rPr>
          <w:color w:val="auto"/>
          <w:szCs w:val="28"/>
        </w:rPr>
      </w:pPr>
      <w:r>
        <w:rPr>
          <w:i/>
          <w:color w:val="auto"/>
          <w:szCs w:val="28"/>
        </w:rPr>
        <w:t>(Kèm theo Quyết định số ......../2026/QĐ-UBND ngày      tháng      năm 2026)</w:t>
      </w:r>
      <w:r>
        <w:rPr>
          <w:color w:val="auto"/>
          <w:szCs w:val="28"/>
        </w:rPr>
        <w:t xml:space="preserve"> </w:t>
      </w:r>
    </w:p>
    <w:p w14:paraId="28EB79BD">
      <w:pPr>
        <w:tabs>
          <w:tab w:val="center" w:pos="720"/>
          <w:tab w:val="center" w:pos="4623"/>
        </w:tabs>
        <w:spacing w:after="200" w:line="259" w:lineRule="auto"/>
        <w:ind w:right="0" w:firstLine="0"/>
        <w:jc w:val="left"/>
        <w:rPr>
          <w:color w:val="auto"/>
          <w:szCs w:val="28"/>
        </w:rPr>
      </w:pPr>
      <w:r>
        <w:rPr>
          <w:rFonts w:eastAsia="Calibri"/>
          <w:color w:val="auto"/>
          <w:szCs w:val="28"/>
        </w:rPr>
        <mc:AlternateContent>
          <mc:Choice Requires="wps">
            <w:drawing>
              <wp:anchor distT="0" distB="0" distL="114300" distR="114300" simplePos="0" relativeHeight="251662336" behindDoc="0" locked="0" layoutInCell="1" allowOverlap="1">
                <wp:simplePos x="0" y="0"/>
                <wp:positionH relativeFrom="column">
                  <wp:posOffset>1947545</wp:posOffset>
                </wp:positionH>
                <wp:positionV relativeFrom="paragraph">
                  <wp:posOffset>70485</wp:posOffset>
                </wp:positionV>
                <wp:extent cx="1979930" cy="0"/>
                <wp:effectExtent l="0" t="0" r="0" b="0"/>
                <wp:wrapNone/>
                <wp:docPr id="2142618959" name="Straight Connector 9"/>
                <wp:cNvGraphicFramePr/>
                <a:graphic xmlns:a="http://schemas.openxmlformats.org/drawingml/2006/main">
                  <a:graphicData uri="http://schemas.microsoft.com/office/word/2010/wordprocessingShape">
                    <wps:wsp>
                      <wps:cNvCnPr/>
                      <wps:spPr>
                        <a:xfrm>
                          <a:off x="0" y="0"/>
                          <a:ext cx="197987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9" o:spid="_x0000_s1026" o:spt="20" style="position:absolute;left:0pt;margin-left:153.35pt;margin-top:5.55pt;height:0pt;width:155.9pt;z-index:251662336;mso-width-relative:page;mso-height-relative:page;" filled="f" stroked="t" coordsize="21600,21600" o:gfxdata="UEsDBAoAAAAAAIdO4kAAAAAAAAAAAAAAAAAEAAAAZHJzL1BLAwQUAAAACACHTuJAza+a0dUAAAAJ&#10;AQAADwAAAGRycy9kb3ducmV2LnhtbE2PwU6EMBCG7ya+QzMm3txSjUCQsgcTDyYmKnrw2IVZYLed&#10;Iu0Cvr1jPOhx5v/zzTfldnVWzDiFwZMGtUlAIDW+HajT8P72cJWDCNFQa6wn1PCFAbbV+VlpitYv&#10;9IpzHTvBEAqF0dDHOBZShqZHZ8LGj0ic7f3kTORx6mQ7mYXhzsrrJEmlMwPxhd6MeN9jc6xPjimU&#10;fe5XO328PD/1eb0c8HHOUOvLC5XcgYi4xr8y/OizOlTstPMnaoOwGm6SNOMqB0qB4EKq8lsQu9+F&#10;rEr5/4PqG1BLAwQUAAAACACHTuJAda6ad+4BAADfAwAADgAAAGRycy9lMm9Eb2MueG1srVPLbtsw&#10;ELwX6D8QvNeyncSxBMs52EgvRWsg6QdsKEoiwBe4jGX/fZeU4rrpJYfoIC252tmd4XDzcDKaHWVA&#10;5WzNF7M5Z9IK1yjb1fz38+O3NWcYwTagnZU1P0vkD9uvXzaDr+TS9U43MjACsVgNvuZ9jL4qChS9&#10;NIAz56WlZOuCgUjL0BVNgIHQjS6W8/mqGFxofHBCItLufkzyCTF8BNC1rRJy78SrkTaOqEFqiEQJ&#10;e+WRb/O0bStF/NW2KCPTNSemMb+pCcUv6V1sN1B1AXyvxDQCfGSEd5wMKEtNL1B7iMBeg/oPyigR&#10;HLo2zoQzxUgkK0IsFvN32jz14GXmQlKjv4iOnwcrfh4Pgamm5svF7XK1WJd3JWcWDJ38Uwyguj6y&#10;nbOWlHSBlUmwwWNFdTt7CNMK/SEk9qc2mPQlXuyURT5fRJanyARtLsr7cn1/y5l4yxV/C33A+F06&#10;w1JQc61s4g8VHH9gpGb069svadu6R6V1PkNt2VDz1c0dnawA8mVLfqDQeOKGtuMMdEeGFzFkRHRa&#10;Nak64eAZdzqwI5BLyKqNG55pXM40YKQEcchPIk8T/FOaxtkD9mNxTo2mMirSPdHK1Hx9Xa1t6iiz&#10;NydSSdBRwhS9uOaclS3Sis49N508mox1vab4+l5u/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N&#10;r5rR1QAAAAkBAAAPAAAAAAAAAAEAIAAAACIAAABkcnMvZG93bnJldi54bWxQSwECFAAUAAAACACH&#10;TuJAda6ad+4BAADfAwAADgAAAAAAAAABACAAAAAkAQAAZHJzL2Uyb0RvYy54bWxQSwUGAAAAAAYA&#10;BgBZAQAAhAUAAAAA&#10;">
                <v:fill on="f" focussize="0,0"/>
                <v:stroke weight="0.5pt" color="#000000" miterlimit="8" joinstyle="miter"/>
                <v:imagedata o:title=""/>
                <o:lock v:ext="edit" aspectratio="f"/>
              </v:line>
            </w:pict>
          </mc:Fallback>
        </mc:AlternateContent>
      </w:r>
      <w:r>
        <w:rPr>
          <w:rFonts w:eastAsia="Calibri"/>
          <w:color w:val="auto"/>
          <w:szCs w:val="28"/>
        </w:rPr>
        <w:tab/>
      </w:r>
      <w:r>
        <w:rPr>
          <w:b/>
          <w:color w:val="auto"/>
          <w:szCs w:val="28"/>
        </w:rPr>
        <w:t xml:space="preserve"> </w:t>
      </w:r>
      <w:r>
        <w:rPr>
          <w:b/>
          <w:color w:val="auto"/>
          <w:szCs w:val="28"/>
        </w:rPr>
        <w:tab/>
      </w:r>
    </w:p>
    <w:p w14:paraId="49DF77E4">
      <w:pPr>
        <w:widowControl w:val="0"/>
        <w:spacing w:before="120" w:after="0" w:line="340" w:lineRule="exact"/>
        <w:ind w:right="0" w:firstLine="567"/>
        <w:jc w:val="left"/>
        <w:outlineLvl w:val="0"/>
        <w:rPr>
          <w:b/>
          <w:bCs/>
          <w:color w:val="auto"/>
          <w:szCs w:val="28"/>
        </w:rPr>
      </w:pPr>
      <w:r>
        <w:rPr>
          <w:b/>
          <w:bCs/>
          <w:color w:val="auto"/>
          <w:szCs w:val="28"/>
        </w:rPr>
        <w:t xml:space="preserve">Điều 1. Phạm vi điều chỉnh và đối tượng áp dụng </w:t>
      </w:r>
    </w:p>
    <w:p w14:paraId="3A63729B">
      <w:pPr>
        <w:widowControl w:val="0"/>
        <w:spacing w:before="120" w:after="0" w:line="340" w:lineRule="exact"/>
        <w:ind w:firstLine="567"/>
        <w:rPr>
          <w:color w:val="auto"/>
          <w:szCs w:val="28"/>
        </w:rPr>
      </w:pPr>
      <w:r>
        <w:rPr>
          <w:color w:val="auto"/>
          <w:szCs w:val="28"/>
        </w:rPr>
        <w:t xml:space="preserve">1. Phạm vi điều chỉnh </w:t>
      </w:r>
    </w:p>
    <w:p w14:paraId="48EA8A95">
      <w:pPr>
        <w:widowControl w:val="0"/>
        <w:spacing w:before="120" w:after="0" w:line="340" w:lineRule="exact"/>
        <w:ind w:left="567" w:firstLine="0"/>
        <w:rPr>
          <w:color w:val="auto"/>
          <w:szCs w:val="28"/>
        </w:rPr>
      </w:pPr>
      <w:r>
        <w:rPr>
          <w:color w:val="auto"/>
          <w:szCs w:val="28"/>
        </w:rPr>
        <w:t>Quy chế này quy định chi tiết:</w:t>
      </w:r>
    </w:p>
    <w:p w14:paraId="36113B72">
      <w:pPr>
        <w:widowControl w:val="0"/>
        <w:spacing w:before="120" w:after="0" w:line="340" w:lineRule="exact"/>
        <w:ind w:left="567" w:firstLine="0"/>
        <w:rPr>
          <w:color w:val="auto"/>
          <w:spacing w:val="-4"/>
          <w:szCs w:val="28"/>
        </w:rPr>
      </w:pPr>
      <w:r>
        <w:rPr>
          <w:color w:val="auto"/>
          <w:spacing w:val="-4"/>
          <w:szCs w:val="28"/>
        </w:rPr>
        <w:t>a) Khoản 2 Điều 120 Luật Nhà ở số 27/2023/QH15 ngày 27 tháng 11 năm 2023.</w:t>
      </w:r>
    </w:p>
    <w:p w14:paraId="21DBFB3D">
      <w:pPr>
        <w:widowControl w:val="0"/>
        <w:spacing w:before="120" w:after="0" w:line="340" w:lineRule="exact"/>
        <w:ind w:firstLine="567"/>
        <w:rPr>
          <w:color w:val="auto"/>
          <w:spacing w:val="-4"/>
          <w:szCs w:val="28"/>
        </w:rPr>
      </w:pPr>
      <w:r>
        <w:rPr>
          <w:color w:val="auto"/>
          <w:spacing w:val="-4"/>
          <w:szCs w:val="28"/>
        </w:rPr>
        <w:t>b) Khoản 2 Điều 38 Nghị định số 357/2025/NĐ-CP ngày 31 tháng 12 năm 2025 của Chính phủ về xây dựng và quản lý hệ thống thông tin, cơ sở dữ liệu về nhà ở và thị trường bất động sản (sau đây gọi tắt là Nghị định số 357/2025/NĐ-CP).</w:t>
      </w:r>
    </w:p>
    <w:p w14:paraId="5EDFB614">
      <w:pPr>
        <w:widowControl w:val="0"/>
        <w:spacing w:before="120" w:after="0" w:line="340" w:lineRule="exact"/>
        <w:ind w:left="567" w:firstLine="0"/>
        <w:rPr>
          <w:color w:val="auto"/>
          <w:szCs w:val="28"/>
        </w:rPr>
      </w:pPr>
      <w:r>
        <w:rPr>
          <w:color w:val="auto"/>
          <w:szCs w:val="28"/>
        </w:rPr>
        <w:t xml:space="preserve">2. Đối tượng áp dụng </w:t>
      </w:r>
    </w:p>
    <w:p w14:paraId="0AB01DE7">
      <w:pPr>
        <w:widowControl w:val="0"/>
        <w:spacing w:before="120" w:after="0" w:line="340" w:lineRule="exact"/>
        <w:ind w:firstLine="567"/>
        <w:rPr>
          <w:color w:val="auto"/>
          <w:spacing w:val="-4"/>
          <w:szCs w:val="28"/>
        </w:rPr>
      </w:pPr>
      <w:r>
        <w:rPr>
          <w:color w:val="auto"/>
          <w:spacing w:val="-4"/>
          <w:szCs w:val="28"/>
        </w:rPr>
        <w:t>Quy chế này áp dụng đối với các sở, ban, ngành; UBND các phường, xã và các tổ chức, cá nhân có liên quan đến việc xây dựng, quản lý và sử dụng hệ thống thông tin, cơ sở dữ liệu về nhà ở và thị trường bất động sản trên địa bàn tỉnh Hà Tĩnh.</w:t>
      </w:r>
    </w:p>
    <w:p w14:paraId="596F7FDF">
      <w:pPr>
        <w:widowControl w:val="0"/>
        <w:spacing w:before="120" w:after="0" w:line="340" w:lineRule="exact"/>
        <w:ind w:right="0" w:firstLine="567"/>
        <w:jc w:val="left"/>
        <w:outlineLvl w:val="0"/>
        <w:rPr>
          <w:b/>
          <w:bCs/>
          <w:color w:val="auto"/>
          <w:szCs w:val="28"/>
        </w:rPr>
      </w:pPr>
      <w:r>
        <w:rPr>
          <w:b/>
          <w:bCs/>
          <w:color w:val="auto"/>
          <w:szCs w:val="28"/>
        </w:rPr>
        <w:t xml:space="preserve">Điều 2. Nguyên tắc phối hợp, chia sẻ và cung cấp thông tin </w:t>
      </w:r>
    </w:p>
    <w:p w14:paraId="65C135D3">
      <w:pPr>
        <w:widowControl w:val="0"/>
        <w:spacing w:before="120" w:after="0" w:line="340" w:lineRule="exact"/>
        <w:ind w:firstLine="567"/>
        <w:rPr>
          <w:color w:val="auto"/>
          <w:szCs w:val="28"/>
        </w:rPr>
      </w:pPr>
      <w:r>
        <w:rPr>
          <w:color w:val="auto"/>
          <w:szCs w:val="28"/>
        </w:rPr>
        <w:t xml:space="preserve">1. Việc kết nối, chia sẻ thông tin tuân thủ đúng chức năng, nhiệm vụ của từng cơ quan, tổ chức, cá nhân có liên quan; đảm bảo tuân thủ các nguyên tắc xây dựng, quản lý và sử dụng hệ thống thông tin, cơ sở dữ liệu về nhà ở và thị trường bất động sản quy định tại Điều 4 Nghị định số 357/2025/NĐ-CP. </w:t>
      </w:r>
    </w:p>
    <w:p w14:paraId="5EC80535">
      <w:pPr>
        <w:widowControl w:val="0"/>
        <w:spacing w:before="120" w:after="0" w:line="340" w:lineRule="exact"/>
        <w:ind w:firstLine="567"/>
        <w:rPr>
          <w:color w:val="auto"/>
          <w:szCs w:val="28"/>
        </w:rPr>
      </w:pPr>
      <w:r>
        <w:rPr>
          <w:color w:val="auto"/>
          <w:szCs w:val="28"/>
        </w:rPr>
        <w:t xml:space="preserve">2. Việc trao đổi, cung cấp thông tin giữa các cơ quan, tổ chức, cá nhân phải đảm bảo kịp thời, đầy đủ và chính xác, chịu trách nhiệm về tính chính xác, tính hợp pháp của toàn bộ nội dung, thông tin, dữ liệu do mình cung cấp. </w:t>
      </w:r>
    </w:p>
    <w:p w14:paraId="40A6C8AC">
      <w:pPr>
        <w:widowControl w:val="0"/>
        <w:spacing w:before="120" w:after="0" w:line="340" w:lineRule="exact"/>
        <w:ind w:firstLine="567"/>
        <w:rPr>
          <w:color w:val="auto"/>
          <w:szCs w:val="28"/>
        </w:rPr>
      </w:pPr>
      <w:r>
        <w:rPr>
          <w:color w:val="auto"/>
          <w:szCs w:val="28"/>
        </w:rPr>
        <w:t xml:space="preserve">3. Việc khai thác dữ liệu phải được phân quyền chặt chẽ theo chức năng, nhiệm vụ của từng cơ quan, đơn vị; bảo đảm hiệu quả, thuận lợi kịp thời phục vụ công tác quản lý nhà nước, đáp ứng yêu cầu về phát triển kinh tế - xã hội, công khai, minh bạch thông tin về nhà ở và thị trường bất động sản. </w:t>
      </w:r>
    </w:p>
    <w:p w14:paraId="0C095C57">
      <w:pPr>
        <w:widowControl w:val="0"/>
        <w:spacing w:before="120" w:after="0" w:line="340" w:lineRule="exact"/>
        <w:ind w:firstLine="567"/>
        <w:rPr>
          <w:color w:val="auto"/>
          <w:szCs w:val="28"/>
        </w:rPr>
      </w:pPr>
      <w:r>
        <w:rPr>
          <w:color w:val="auto"/>
          <w:szCs w:val="28"/>
        </w:rPr>
        <w:t xml:space="preserve">4. Dữ liệu thuộc danh mục bí mật nhà nước, dữ liệu cá nhân, dữ liệu nhạy cảm được quản lý, khai thác theo đúng quy định của pháp luật về bảo vệ dữ liệu cá nhân, an ninh mạng và bảo vệ bí mật nhà nước. </w:t>
      </w:r>
    </w:p>
    <w:p w14:paraId="33922232">
      <w:pPr>
        <w:widowControl w:val="0"/>
        <w:spacing w:before="120" w:after="0" w:line="340" w:lineRule="exact"/>
        <w:ind w:right="0" w:firstLine="567"/>
        <w:jc w:val="left"/>
        <w:outlineLvl w:val="0"/>
        <w:rPr>
          <w:b/>
          <w:bCs/>
          <w:color w:val="auto"/>
          <w:szCs w:val="28"/>
        </w:rPr>
      </w:pPr>
      <w:r>
        <w:rPr>
          <w:b/>
          <w:bCs/>
          <w:color w:val="auto"/>
          <w:szCs w:val="28"/>
        </w:rPr>
        <w:t xml:space="preserve">Điều 3. Phương thức và thời hạn cập nhật, cung cấp dữ liệu </w:t>
      </w:r>
    </w:p>
    <w:p w14:paraId="6B3A33AF">
      <w:pPr>
        <w:widowControl w:val="0"/>
        <w:spacing w:before="120" w:after="0" w:line="340" w:lineRule="exact"/>
        <w:ind w:firstLine="567"/>
        <w:rPr>
          <w:color w:val="auto"/>
          <w:szCs w:val="28"/>
        </w:rPr>
      </w:pPr>
      <w:r>
        <w:rPr>
          <w:color w:val="auto"/>
          <w:szCs w:val="28"/>
        </w:rPr>
        <w:t xml:space="preserve">1. Phương thức thực hiện:  </w:t>
      </w:r>
    </w:p>
    <w:p w14:paraId="4FA82521">
      <w:pPr>
        <w:widowControl w:val="0"/>
        <w:spacing w:before="120" w:after="0" w:line="340" w:lineRule="exact"/>
        <w:ind w:right="0" w:firstLine="567"/>
        <w:jc w:val="left"/>
        <w:rPr>
          <w:rFonts w:eastAsia="Calibri"/>
          <w:color w:val="auto"/>
          <w:szCs w:val="28"/>
        </w:rPr>
      </w:pPr>
      <w:r>
        <w:rPr>
          <w:rFonts w:eastAsia="Calibri"/>
          <w:color w:val="auto"/>
          <w:szCs w:val="28"/>
        </w:rPr>
        <w:t xml:space="preserve">a) Việc chia sẻ, cung cấp thông tin, dữ liệu giữa các cơ quan, tổ chức được thực hiện theo quy định tại khoản 1 Điều 31 Nghị định số 357/2025/NĐ-CP. </w:t>
      </w:r>
    </w:p>
    <w:p w14:paraId="45970B7C">
      <w:pPr>
        <w:widowControl w:val="0"/>
        <w:spacing w:before="120" w:after="0" w:line="340" w:lineRule="exact"/>
        <w:ind w:firstLine="567"/>
        <w:rPr>
          <w:color w:val="auto"/>
          <w:szCs w:val="28"/>
        </w:rPr>
      </w:pPr>
      <w:r>
        <w:rPr>
          <w:color w:val="auto"/>
          <w:szCs w:val="28"/>
        </w:rPr>
        <w:t xml:space="preserve">b) Các cơ quan, đơn vị và tổ chức, doanh nghiệp được phân công cung cấp thông tin, dữ liệu có trách nhiệm cử cán bộ làm đầu mối theo dõi và thực hiện việc cập nhật thông tin, dữ liệu trên hệ thống; thực hiện cung cấp thông tin, dữ liệu thuộc phạm vi quản lý của mình theo quy định. Thường xuyên theo dõi hệ thống để thực hiện việc cập nhật, báo cáo thông tin, dữ liệu theo yêu cầu.  </w:t>
      </w:r>
    </w:p>
    <w:p w14:paraId="3FBE759A">
      <w:pPr>
        <w:widowControl w:val="0"/>
        <w:spacing w:before="120" w:after="0" w:line="340" w:lineRule="exact"/>
        <w:ind w:firstLine="567"/>
        <w:rPr>
          <w:color w:val="auto"/>
          <w:szCs w:val="28"/>
        </w:rPr>
      </w:pPr>
      <w:r>
        <w:rPr>
          <w:color w:val="auto"/>
          <w:szCs w:val="28"/>
        </w:rPr>
        <w:t xml:space="preserve">2. Thời hạn cập nhật, cung cấp dữ liệu </w:t>
      </w:r>
    </w:p>
    <w:p w14:paraId="06BEA553">
      <w:pPr>
        <w:widowControl w:val="0"/>
        <w:spacing w:before="120" w:after="0" w:line="340" w:lineRule="exact"/>
        <w:ind w:firstLine="567"/>
        <w:rPr>
          <w:color w:val="auto"/>
          <w:szCs w:val="28"/>
        </w:rPr>
      </w:pPr>
      <w:r>
        <w:rPr>
          <w:color w:val="auto"/>
          <w:szCs w:val="28"/>
        </w:rPr>
        <w:t xml:space="preserve">- Thời hạn cập nhật, cung cấp dữ liệu về nhà ở và thị trường bất động sản trên địa bàn tỉnh thực hiện theo quy định tại khoản 2 Điều 31 Nghị định số 357/2025/NĐ-CP. </w:t>
      </w:r>
    </w:p>
    <w:p w14:paraId="3C2591B3">
      <w:pPr>
        <w:widowControl w:val="0"/>
        <w:spacing w:before="120" w:after="0" w:line="340" w:lineRule="exact"/>
        <w:ind w:firstLine="567"/>
        <w:rPr>
          <w:color w:val="auto"/>
          <w:szCs w:val="28"/>
        </w:rPr>
      </w:pPr>
      <w:r>
        <w:rPr>
          <w:color w:val="auto"/>
          <w:szCs w:val="28"/>
        </w:rPr>
        <w:t>- Định kỳ 06 tháng, Sở Nông nghiệp và Môi trường cung cấp thông tin bằng văn bản về nhà ở theo quy định tại khoản 1 Điều 5 quy chế này về Sở Xây dựng (trước ngày 10 tháng 01 và ngày 10 tháng 07 hàng năm).</w:t>
      </w:r>
    </w:p>
    <w:p w14:paraId="535687DB">
      <w:pPr>
        <w:widowControl w:val="0"/>
        <w:spacing w:before="120" w:after="0" w:line="340" w:lineRule="exact"/>
        <w:ind w:firstLine="567"/>
        <w:rPr>
          <w:color w:val="auto"/>
          <w:szCs w:val="28"/>
        </w:rPr>
      </w:pPr>
      <w:r>
        <w:rPr>
          <w:color w:val="auto"/>
          <w:szCs w:val="28"/>
        </w:rPr>
        <w:t>- Định kỳ hàng quý, Chi nhánh Văn phòng đăng ký đất đai cung cấp thông tin bằng văn bản về nhà ở theo quy định tại khoản 2 Điều 5 quy chế này về Ủy ban nhân dân cấp xã trước ngày 05 tháng đầu tiên của quý sau quý báo cáo.</w:t>
      </w:r>
    </w:p>
    <w:p w14:paraId="755EC10A">
      <w:pPr>
        <w:widowControl w:val="0"/>
        <w:spacing w:before="120" w:after="0" w:line="340" w:lineRule="exact"/>
        <w:ind w:right="0" w:firstLine="567"/>
        <w:jc w:val="left"/>
        <w:outlineLvl w:val="0"/>
        <w:rPr>
          <w:b/>
          <w:bCs/>
          <w:color w:val="auto"/>
          <w:szCs w:val="28"/>
        </w:rPr>
      </w:pPr>
      <w:r>
        <w:rPr>
          <w:b/>
          <w:bCs/>
          <w:color w:val="auto"/>
          <w:szCs w:val="28"/>
        </w:rPr>
        <w:t>Điều 4. Trách nhiệm của các cơ quan, đơn vị, các chủ đầu tư dự án và các tổ chức kinh doanh dịch vụ bất động sản</w:t>
      </w:r>
    </w:p>
    <w:p w14:paraId="66926080">
      <w:pPr>
        <w:widowControl w:val="0"/>
        <w:spacing w:before="120" w:after="0" w:line="340" w:lineRule="exact"/>
        <w:ind w:firstLine="567"/>
        <w:rPr>
          <w:color w:val="auto"/>
          <w:szCs w:val="28"/>
        </w:rPr>
      </w:pPr>
      <w:r>
        <w:rPr>
          <w:color w:val="auto"/>
          <w:szCs w:val="28"/>
        </w:rPr>
        <w:t xml:space="preserve">1. Sở Xây dựng </w:t>
      </w:r>
    </w:p>
    <w:p w14:paraId="551ECE21">
      <w:pPr>
        <w:widowControl w:val="0"/>
        <w:spacing w:before="120" w:after="0" w:line="340" w:lineRule="exact"/>
        <w:ind w:firstLine="567"/>
        <w:rPr>
          <w:color w:val="auto"/>
          <w:szCs w:val="28"/>
        </w:rPr>
      </w:pPr>
      <w:r>
        <w:rPr>
          <w:color w:val="auto"/>
          <w:szCs w:val="28"/>
        </w:rPr>
        <w:t xml:space="preserve">a) Là cơ quan đầu mối giúp Ủy ban nhân dân tỉnh tiếp nhận, quản trị, vận hành hệ thống thông tin, cơ sở dữ liệu về nhà ở và thị trường bất động sản trên địa bàn tỉnh. </w:t>
      </w:r>
    </w:p>
    <w:p w14:paraId="24A2D7DC">
      <w:pPr>
        <w:widowControl w:val="0"/>
        <w:spacing w:before="120" w:after="0" w:line="340" w:lineRule="exact"/>
        <w:ind w:firstLine="567"/>
        <w:rPr>
          <w:color w:val="auto"/>
          <w:szCs w:val="28"/>
        </w:rPr>
      </w:pPr>
      <w:r>
        <w:rPr>
          <w:color w:val="auto"/>
          <w:szCs w:val="28"/>
        </w:rPr>
        <w:t xml:space="preserve">b) Tài khoản quản trị hệ thống thông tin về nhà ở và thị trường bất động sản do Bộ Xây dựng cấp cho Ủy ban nhân dân tỉnh, Ủy ban nhân dân tỉnh giao Sở Xây dựng quản lý và tổ chức cấp tài khoản truy cập cho các cơ quan, tổ chức, chủ đầu tư dự án bất động sản và các cá nhân có liên quan. </w:t>
      </w:r>
    </w:p>
    <w:p w14:paraId="73AFB005">
      <w:pPr>
        <w:widowControl w:val="0"/>
        <w:spacing w:before="120" w:after="0" w:line="340" w:lineRule="exact"/>
        <w:ind w:firstLine="567"/>
        <w:rPr>
          <w:color w:val="auto"/>
          <w:szCs w:val="28"/>
        </w:rPr>
      </w:pPr>
      <w:r>
        <w:rPr>
          <w:color w:val="auto"/>
          <w:szCs w:val="28"/>
        </w:rPr>
        <w:t xml:space="preserve">c) Thực hiện cung cấp, chia sẻ thông tin, dữ liệu theo quy định tại khoản 2 Điều 14, khoản 2, 3 Điều 16, Điều 23, 24, 25 Nghị định số 357/2025/NĐ-CP. </w:t>
      </w:r>
    </w:p>
    <w:p w14:paraId="1112F4FB">
      <w:pPr>
        <w:widowControl w:val="0"/>
        <w:spacing w:before="120" w:after="0" w:line="340" w:lineRule="exact"/>
        <w:ind w:firstLine="567"/>
        <w:rPr>
          <w:color w:val="auto"/>
          <w:szCs w:val="28"/>
        </w:rPr>
      </w:pPr>
      <w:r>
        <w:rPr>
          <w:color w:val="auto"/>
          <w:szCs w:val="28"/>
        </w:rPr>
        <w:t xml:space="preserve">d) Tổ chức kiểm tra, rà soát dữ liệu định kỳ để làm sạch dữ liệu; tổng hợp báo cáo Ủy ban nhân dân tỉnh và Bộ Xây dựng theo quy định. </w:t>
      </w:r>
    </w:p>
    <w:p w14:paraId="29B252EB">
      <w:pPr>
        <w:widowControl w:val="0"/>
        <w:spacing w:before="120" w:after="0" w:line="340" w:lineRule="exact"/>
        <w:ind w:firstLine="567"/>
        <w:rPr>
          <w:color w:val="auto"/>
          <w:spacing w:val="-2"/>
          <w:szCs w:val="28"/>
        </w:rPr>
      </w:pPr>
      <w:r>
        <w:rPr>
          <w:color w:val="auto"/>
          <w:spacing w:val="-2"/>
          <w:szCs w:val="28"/>
        </w:rPr>
        <w:t xml:space="preserve">đ) Có trách nhiệm </w:t>
      </w:r>
      <w:r>
        <w:rPr>
          <w:color w:val="EE0000"/>
        </w:rPr>
        <w:t>hướng dẫn quy trình và phương thức cập nhật, cung cấp dữ liệu, đồng thời</w:t>
      </w:r>
      <w:r>
        <w:rPr>
          <w:color w:val="EE0000"/>
          <w:spacing w:val="-2"/>
          <w:szCs w:val="28"/>
        </w:rPr>
        <w:t xml:space="preserve"> </w:t>
      </w:r>
      <w:r>
        <w:rPr>
          <w:color w:val="auto"/>
          <w:spacing w:val="-2"/>
          <w:szCs w:val="28"/>
        </w:rPr>
        <w:t xml:space="preserve">theo dõi, đôn đốc và kiểm tra việc cung cấp thông tin, dữ liệu của các cơ quan, đơn vị. Trường hợp các cơ quan, đơn vị không thực hiện hoặc thực hiện không đầy đủ việc cung cấp thông tin, dữ liệu theo quy định, Sở Xây dựng tổng hợp và báo cáo Ủy ban nhân dân tỉnh để xem xét, xử lý theo quy định. </w:t>
      </w:r>
    </w:p>
    <w:p w14:paraId="4B0744D6">
      <w:pPr>
        <w:widowControl w:val="0"/>
        <w:spacing w:before="120" w:after="0" w:line="340" w:lineRule="exact"/>
        <w:ind w:left="567" w:firstLine="0"/>
        <w:rPr>
          <w:color w:val="auto"/>
          <w:szCs w:val="28"/>
        </w:rPr>
      </w:pPr>
      <w:r>
        <w:rPr>
          <w:color w:val="auto"/>
          <w:szCs w:val="28"/>
        </w:rPr>
        <w:t xml:space="preserve">2. Công an tỉnh </w:t>
      </w:r>
    </w:p>
    <w:p w14:paraId="7895A03C">
      <w:pPr>
        <w:widowControl w:val="0"/>
        <w:spacing w:before="120" w:after="0" w:line="340" w:lineRule="exact"/>
        <w:ind w:firstLine="567"/>
        <w:rPr>
          <w:color w:val="auto"/>
          <w:szCs w:val="28"/>
        </w:rPr>
      </w:pPr>
      <w:r>
        <w:rPr>
          <w:color w:val="auto"/>
          <w:szCs w:val="28"/>
        </w:rPr>
        <w:t>Cung cấp, chia sẻ thông tin, dữ liệu liên quan đến dân cư; định danh địa điểm (nếu có); xử lý vi phạm hành chính liên quan đến lĩnh vực nhà ở và kinh doanh bất động sản; số định danh cá nhân; số định danh người nước ngoài; số định danh tổ chức quy định tại khoản 1 Điều 28 Nghị định số 357/2025/NĐ-CP.</w:t>
      </w:r>
    </w:p>
    <w:p w14:paraId="193E5B6C">
      <w:pPr>
        <w:widowControl w:val="0"/>
        <w:spacing w:before="120" w:after="0" w:line="340" w:lineRule="exact"/>
        <w:ind w:left="567" w:firstLine="0"/>
        <w:rPr>
          <w:color w:val="auto"/>
          <w:szCs w:val="28"/>
        </w:rPr>
      </w:pPr>
      <w:r>
        <w:rPr>
          <w:color w:val="auto"/>
          <w:szCs w:val="28"/>
        </w:rPr>
        <w:t xml:space="preserve">3. Sở Nông nghiệp và Môi trường </w:t>
      </w:r>
    </w:p>
    <w:p w14:paraId="3C292AB7">
      <w:pPr>
        <w:widowControl w:val="0"/>
        <w:spacing w:before="120" w:after="0" w:line="340" w:lineRule="exact"/>
        <w:ind w:firstLine="567"/>
        <w:rPr>
          <w:color w:val="auto"/>
          <w:szCs w:val="28"/>
        </w:rPr>
      </w:pPr>
      <w:r>
        <w:rPr>
          <w:color w:val="auto"/>
          <w:szCs w:val="28"/>
        </w:rPr>
        <w:t xml:space="preserve">Cung cấp, chia sẻ thông tin, dữ liệu về sở hữu nhà ở của tổ chức, cá nhân theo quy định tại khoản 1, 2 Điều 20 Nghị định số 357/2025/NĐ-CP theo thẩm quyền. </w:t>
      </w:r>
    </w:p>
    <w:p w14:paraId="2E3705E6">
      <w:pPr>
        <w:widowControl w:val="0"/>
        <w:spacing w:before="120" w:after="0" w:line="340" w:lineRule="exact"/>
        <w:ind w:left="567" w:firstLine="0"/>
        <w:rPr>
          <w:color w:val="auto"/>
          <w:szCs w:val="28"/>
        </w:rPr>
      </w:pPr>
      <w:r>
        <w:rPr>
          <w:color w:val="auto"/>
          <w:szCs w:val="28"/>
        </w:rPr>
        <w:t xml:space="preserve">4. Sở Tài chính </w:t>
      </w:r>
    </w:p>
    <w:p w14:paraId="79CFF04F">
      <w:pPr>
        <w:widowControl w:val="0"/>
        <w:spacing w:before="120" w:after="0" w:line="340" w:lineRule="exact"/>
        <w:ind w:firstLine="567"/>
        <w:rPr>
          <w:color w:val="EE0000"/>
          <w:spacing w:val="-2"/>
        </w:rPr>
      </w:pPr>
      <w:r>
        <w:rPr>
          <w:color w:val="EE0000"/>
          <w:spacing w:val="-2"/>
        </w:rPr>
        <w:t>Cung cấp, chia sẻ thông tin về tổ chức, cá nhân quản lý, sử dụng nhà ở thuộc tài sản công theo quy định tại khoản 3 Điều 20 Nghị định số 357/2025/NĐ-CP trong phạm vi dữ liệu được quản lý theo quy định của pháp luật về quản lý, sử dụng tài sản công.</w:t>
      </w:r>
    </w:p>
    <w:p w14:paraId="60E9DD80">
      <w:pPr>
        <w:widowControl w:val="0"/>
        <w:spacing w:before="120" w:after="0" w:line="340" w:lineRule="exact"/>
        <w:ind w:firstLine="567"/>
        <w:rPr>
          <w:color w:val="auto"/>
          <w:szCs w:val="28"/>
        </w:rPr>
      </w:pPr>
      <w:r>
        <w:rPr>
          <w:color w:val="auto"/>
          <w:szCs w:val="28"/>
        </w:rPr>
        <w:t xml:space="preserve">5. Sở Tư pháp </w:t>
      </w:r>
    </w:p>
    <w:p w14:paraId="5F2A6C2E">
      <w:pPr>
        <w:widowControl w:val="0"/>
        <w:spacing w:before="120" w:after="0" w:line="340" w:lineRule="exact"/>
        <w:ind w:firstLine="567"/>
        <w:rPr>
          <w:color w:val="auto"/>
          <w:szCs w:val="28"/>
        </w:rPr>
      </w:pPr>
      <w:r>
        <w:rPr>
          <w:color w:val="auto"/>
          <w:szCs w:val="28"/>
        </w:rPr>
        <w:t xml:space="preserve">a) Cung cấp, chia sẻ thông tin, dữ liệu về giao dịch bất động sản thông qua công chứng, chứng thực theo từng loại hình bất động sản theo khoản 2, 3 Điều 19 Nghị định số 357/2025/NĐ-CP. </w:t>
      </w:r>
    </w:p>
    <w:p w14:paraId="29B8C1DC">
      <w:pPr>
        <w:widowControl w:val="0"/>
        <w:spacing w:before="120" w:after="0" w:line="340" w:lineRule="exact"/>
        <w:ind w:firstLine="567"/>
        <w:rPr>
          <w:color w:val="auto"/>
          <w:szCs w:val="28"/>
        </w:rPr>
      </w:pPr>
      <w:r>
        <w:rPr>
          <w:color w:val="auto"/>
          <w:szCs w:val="28"/>
        </w:rPr>
        <w:t xml:space="preserve">b) Chủ trì, triển khai cho các tổ chức hành nghề công chứng trên địa bàn tỉnh cung cấp, chia sẻ thông tin, dữ liệu về thông tin hợp đồng giao dịch bất động sản thông qua hoạt động công chứng gửi Sở Tư pháp cập nhật dữ liệu. </w:t>
      </w:r>
    </w:p>
    <w:p w14:paraId="31642B45">
      <w:pPr>
        <w:widowControl w:val="0"/>
        <w:spacing w:before="120" w:after="0" w:line="340" w:lineRule="exact"/>
        <w:ind w:firstLine="567"/>
        <w:rPr>
          <w:color w:val="auto"/>
          <w:szCs w:val="28"/>
        </w:rPr>
      </w:pPr>
      <w:r>
        <w:rPr>
          <w:color w:val="auto"/>
          <w:szCs w:val="28"/>
        </w:rPr>
        <w:t>6. Thuế tỉnh Hà Tĩnh</w:t>
      </w:r>
    </w:p>
    <w:p w14:paraId="14BF92CF">
      <w:pPr>
        <w:widowControl w:val="0"/>
        <w:spacing w:before="120" w:after="0" w:line="340" w:lineRule="exact"/>
        <w:ind w:firstLine="567"/>
        <w:rPr>
          <w:color w:val="auto"/>
          <w:szCs w:val="28"/>
        </w:rPr>
      </w:pPr>
      <w:r>
        <w:rPr>
          <w:color w:val="auto"/>
          <w:szCs w:val="28"/>
        </w:rPr>
        <w:t xml:space="preserve">Cung cấp thông tin, dữ liệu về thuế đối với hoạt động chuyển nhượng bất động sản gồm: Thuế thu nhập cá nhân, tổ chức phải nộp đối với các loại bất động sản như đất ở đô thị, đất ở nông thôn và các loại bất động sản khác theo quy định tại điểm a khoản 3 Điều 28 Nghị định số 357/2025/NĐ-CP. </w:t>
      </w:r>
    </w:p>
    <w:p w14:paraId="15469DE3">
      <w:pPr>
        <w:widowControl w:val="0"/>
        <w:spacing w:before="120" w:after="0" w:line="340" w:lineRule="exact"/>
        <w:ind w:firstLine="567"/>
        <w:rPr>
          <w:color w:val="auto"/>
          <w:szCs w:val="28"/>
        </w:rPr>
      </w:pPr>
      <w:r>
        <w:rPr>
          <w:color w:val="auto"/>
          <w:szCs w:val="28"/>
        </w:rPr>
        <w:t>7. Ngân hàng Nhà nước chi nhánh Khu vực 8</w:t>
      </w:r>
    </w:p>
    <w:p w14:paraId="636622C6">
      <w:pPr>
        <w:widowControl w:val="0"/>
        <w:spacing w:before="120" w:after="0" w:line="340" w:lineRule="exact"/>
        <w:ind w:firstLine="567"/>
        <w:rPr>
          <w:color w:val="auto"/>
          <w:szCs w:val="28"/>
        </w:rPr>
      </w:pPr>
      <w:r>
        <w:rPr>
          <w:color w:val="auto"/>
          <w:szCs w:val="28"/>
        </w:rPr>
        <w:t xml:space="preserve">Cung cấp thông tin, dữ liệu về tín dụng trong lĩnh vực bất động sản theo quy định tại khoản 4 Điều 28 Nghị định số 357/2025/NĐ-CP. </w:t>
      </w:r>
    </w:p>
    <w:p w14:paraId="12CF05A9">
      <w:pPr>
        <w:widowControl w:val="0"/>
        <w:spacing w:before="120" w:after="0" w:line="340" w:lineRule="exact"/>
        <w:ind w:left="567" w:firstLine="0"/>
        <w:rPr>
          <w:color w:val="auto"/>
          <w:szCs w:val="28"/>
        </w:rPr>
      </w:pPr>
      <w:r>
        <w:rPr>
          <w:color w:val="auto"/>
          <w:szCs w:val="28"/>
        </w:rPr>
        <w:t xml:space="preserve">8. Thống kê tỉnh Hà Tĩnh </w:t>
      </w:r>
    </w:p>
    <w:p w14:paraId="1BDBCD8C">
      <w:pPr>
        <w:widowControl w:val="0"/>
        <w:spacing w:before="120" w:after="0" w:line="340" w:lineRule="exact"/>
        <w:ind w:firstLine="567"/>
        <w:rPr>
          <w:color w:val="auto"/>
          <w:szCs w:val="28"/>
        </w:rPr>
      </w:pPr>
      <w:r>
        <w:rPr>
          <w:color w:val="auto"/>
          <w:szCs w:val="28"/>
        </w:rPr>
        <w:t xml:space="preserve">Cung cấp thông tin, dữ liệu về nhà ở trong tổng điều tra dân số và nhà ở; điều tra dân số và nhà ở giữa kỳ trên địa bàn tỉnh theo quy định tại khoản 4 Điều 14 Nghị định số 357/2025/NĐ-CP. </w:t>
      </w:r>
    </w:p>
    <w:p w14:paraId="64003A1F">
      <w:pPr>
        <w:widowControl w:val="0"/>
        <w:spacing w:before="120" w:after="0" w:line="340" w:lineRule="exact"/>
        <w:ind w:left="567" w:firstLine="0"/>
        <w:rPr>
          <w:color w:val="auto"/>
          <w:szCs w:val="28"/>
        </w:rPr>
      </w:pPr>
      <w:r>
        <w:rPr>
          <w:color w:val="auto"/>
          <w:szCs w:val="28"/>
        </w:rPr>
        <w:t xml:space="preserve">9. Ban Quản lý Khu kinh tế tỉnh </w:t>
      </w:r>
    </w:p>
    <w:p w14:paraId="202D0C24">
      <w:pPr>
        <w:widowControl w:val="0"/>
        <w:spacing w:before="120" w:after="0" w:line="340" w:lineRule="exact"/>
        <w:ind w:firstLine="567"/>
        <w:rPr>
          <w:color w:val="auto"/>
          <w:spacing w:val="-4"/>
          <w:szCs w:val="28"/>
        </w:rPr>
      </w:pPr>
      <w:r>
        <w:rPr>
          <w:color w:val="auto"/>
          <w:spacing w:val="-4"/>
          <w:szCs w:val="28"/>
        </w:rPr>
        <w:t xml:space="preserve">a) </w:t>
      </w:r>
      <w:r>
        <w:rPr>
          <w:color w:val="auto"/>
          <w:szCs w:val="28"/>
        </w:rPr>
        <w:t>Cung cấp, chia sẻ thông tin, dữ liệu</w:t>
      </w:r>
      <w:r>
        <w:rPr>
          <w:color w:val="auto"/>
          <w:spacing w:val="-4"/>
          <w:szCs w:val="28"/>
        </w:rPr>
        <w:t xml:space="preserve"> thông tin, dữ liệu về dự án bất động sản theo quy định tại Điều 18 Nghị định số 357/2025/NĐ-CP. </w:t>
      </w:r>
    </w:p>
    <w:p w14:paraId="606648BC">
      <w:pPr>
        <w:widowControl w:val="0"/>
        <w:spacing w:before="120" w:after="0" w:line="340" w:lineRule="exact"/>
        <w:ind w:firstLine="567"/>
        <w:rPr>
          <w:color w:val="auto"/>
          <w:szCs w:val="28"/>
        </w:rPr>
      </w:pPr>
      <w:r>
        <w:rPr>
          <w:color w:val="auto"/>
          <w:szCs w:val="28"/>
        </w:rPr>
        <w:t xml:space="preserve">b) Cung cấp, chia sẻ thông tin, dữ liệu thuộc phạm vi quản lý theo quy định của pháp luật để phục vụ xây dựng, quản lý và vận hành hệ thống thông tin về nhà ở và thị trường bất động sản. </w:t>
      </w:r>
    </w:p>
    <w:p w14:paraId="4086D491">
      <w:pPr>
        <w:widowControl w:val="0"/>
        <w:spacing w:before="120" w:after="0" w:line="340" w:lineRule="exact"/>
        <w:ind w:firstLine="567"/>
        <w:rPr>
          <w:color w:val="auto"/>
          <w:szCs w:val="28"/>
        </w:rPr>
      </w:pPr>
      <w:r>
        <w:rPr>
          <w:color w:val="auto"/>
          <w:szCs w:val="28"/>
        </w:rPr>
        <w:t xml:space="preserve">10. Ủy ban nhân dân các phường, xã </w:t>
      </w:r>
    </w:p>
    <w:p w14:paraId="04DE804C">
      <w:pPr>
        <w:widowControl w:val="0"/>
        <w:spacing w:before="120" w:after="0" w:line="340" w:lineRule="exact"/>
        <w:ind w:firstLine="567"/>
        <w:rPr>
          <w:color w:val="auto"/>
          <w:szCs w:val="28"/>
        </w:rPr>
      </w:pPr>
      <w:r>
        <w:rPr>
          <w:color w:val="auto"/>
          <w:szCs w:val="28"/>
        </w:rPr>
        <w:t xml:space="preserve">a) Phối hợp, cung cấp thông tin về tình hình triển khai thực hiện Đề án; Chương trình, kế hoạch phát triển nhà ở đã được cơ quan có thẩm quyền phê duyệt theo khoản 2 Điều 14 Nghị định số 357/2025/NĐ-CP.  </w:t>
      </w:r>
    </w:p>
    <w:p w14:paraId="06DD8814">
      <w:pPr>
        <w:widowControl w:val="0"/>
        <w:spacing w:before="120" w:after="0" w:line="340" w:lineRule="exact"/>
        <w:ind w:firstLine="567"/>
        <w:rPr>
          <w:color w:val="auto"/>
          <w:szCs w:val="28"/>
        </w:rPr>
      </w:pPr>
      <w:r>
        <w:rPr>
          <w:color w:val="auto"/>
          <w:szCs w:val="28"/>
        </w:rPr>
        <w:t xml:space="preserve">b) Cung cấp, chia sẻ dữ liệu về kết quả thực hiện các chương trình hỗ trợ nhà ở trên địa bàn theo khoản 3 Điều 16 và thông tin về cá nhân thụ hưởng chính sách hỗ trợ nhà ở theo Điều 21 Nghị định số 357/2025/NĐ-CP. </w:t>
      </w:r>
    </w:p>
    <w:p w14:paraId="2F2FEF56">
      <w:pPr>
        <w:widowControl w:val="0"/>
        <w:spacing w:before="120" w:after="0" w:line="340" w:lineRule="exact"/>
        <w:ind w:firstLine="567"/>
        <w:rPr>
          <w:color w:val="auto"/>
          <w:szCs w:val="28"/>
        </w:rPr>
      </w:pPr>
      <w:r>
        <w:rPr>
          <w:color w:val="auto"/>
          <w:szCs w:val="28"/>
        </w:rPr>
        <w:t xml:space="preserve">c) Phối hợp kết nối, chia sẻ thông tin, dữ liệu về sở hữu nhà ở của tổ chức, cá nhân theo quy định tại khoản 1, 2 Điều 20 Nghị định số 357/2025/NĐ-CP theo thẩm quyền. </w:t>
      </w:r>
    </w:p>
    <w:p w14:paraId="55F4AE2D">
      <w:pPr>
        <w:widowControl w:val="0"/>
        <w:spacing w:before="120" w:after="0" w:line="340" w:lineRule="exact"/>
        <w:ind w:firstLine="567"/>
        <w:rPr>
          <w:color w:val="auto"/>
          <w:szCs w:val="28"/>
        </w:rPr>
      </w:pPr>
      <w:r>
        <w:rPr>
          <w:color w:val="auto"/>
          <w:szCs w:val="28"/>
        </w:rPr>
        <w:t xml:space="preserve">11. Chủ đầu tư dự án bất động sản </w:t>
      </w:r>
    </w:p>
    <w:p w14:paraId="0268ECAA">
      <w:pPr>
        <w:widowControl w:val="0"/>
        <w:spacing w:before="120" w:after="0" w:line="340" w:lineRule="exact"/>
        <w:ind w:firstLine="567"/>
        <w:rPr>
          <w:color w:val="auto"/>
          <w:szCs w:val="28"/>
        </w:rPr>
      </w:pPr>
      <w:r>
        <w:rPr>
          <w:color w:val="auto"/>
          <w:szCs w:val="28"/>
        </w:rPr>
        <w:t xml:space="preserve">Tiếp nhận tài khoản định danh điện tử và cập nhật thông tin pháp lý dự án ngay sau khi được cấp có thẩm quyền ban hành Quyết định/Chấp thuận chủ trương đầu tư. Triển khai cập nhật thông tin, dữ liệu về dự án bất động sản theo quy định tại khoản 1, 2 Điều 30 Nghị định số 357/2025/NĐ-CP. </w:t>
      </w:r>
    </w:p>
    <w:p w14:paraId="02674147">
      <w:pPr>
        <w:widowControl w:val="0"/>
        <w:spacing w:before="120" w:after="0" w:line="340" w:lineRule="exact"/>
        <w:ind w:firstLine="567"/>
        <w:rPr>
          <w:color w:val="auto"/>
          <w:szCs w:val="28"/>
        </w:rPr>
      </w:pPr>
      <w:r>
        <w:rPr>
          <w:color w:val="auto"/>
          <w:szCs w:val="28"/>
        </w:rPr>
        <w:t xml:space="preserve">12. Tổ chức kinh doanh dịch vụ bất động sản </w:t>
      </w:r>
    </w:p>
    <w:p w14:paraId="2116E827">
      <w:pPr>
        <w:widowControl w:val="0"/>
        <w:spacing w:before="120" w:after="0" w:line="340" w:lineRule="exact"/>
        <w:ind w:firstLine="567"/>
        <w:rPr>
          <w:color w:val="auto"/>
          <w:szCs w:val="28"/>
        </w:rPr>
      </w:pPr>
      <w:r>
        <w:rPr>
          <w:color w:val="auto"/>
          <w:szCs w:val="28"/>
        </w:rPr>
        <w:t xml:space="preserve">Các sàn giao dịch bất động sản, tổ chức kinh doanh dịch vụ môi giới bất động sản, tổ chức kinh doanh dịch vụ tư vấn, quản lý bất động sản thực hiện cung cấp, chia sẻ thông tin, dữ liệu theo quy định tại Điều 22 Nghị định số 357/2025/NĐ-CP. </w:t>
      </w:r>
    </w:p>
    <w:p w14:paraId="79AE2D43">
      <w:pPr>
        <w:widowControl w:val="0"/>
        <w:spacing w:before="120" w:after="0" w:line="340" w:lineRule="exact"/>
        <w:ind w:right="0" w:firstLine="567"/>
        <w:jc w:val="left"/>
        <w:outlineLvl w:val="0"/>
        <w:rPr>
          <w:b/>
          <w:bCs/>
          <w:color w:val="auto"/>
          <w:szCs w:val="28"/>
        </w:rPr>
      </w:pPr>
      <w:r>
        <w:rPr>
          <w:b/>
          <w:bCs/>
          <w:color w:val="auto"/>
          <w:szCs w:val="28"/>
        </w:rPr>
        <w:t>Điều 5. Nội dung phối hợp cung cấp thông tin về nhà ở để thiết lập hồ sơ nhà ở</w:t>
      </w:r>
    </w:p>
    <w:p w14:paraId="060BABCE">
      <w:pPr>
        <w:spacing w:before="120" w:after="0" w:line="340" w:lineRule="exact"/>
        <w:ind w:firstLine="567"/>
        <w:rPr>
          <w:color w:val="auto"/>
          <w:szCs w:val="28"/>
        </w:rPr>
      </w:pPr>
      <w:r>
        <w:rPr>
          <w:color w:val="auto"/>
          <w:szCs w:val="28"/>
        </w:rPr>
        <w:t>1. Sở Nông nghiệp và Môi trường cung cấp thông tin về nhà ở (bao gồm toàn bộ các thông tin được ghi trong Giấy chứng nhận quyền sử dụng đất, quyền sở hữu tài sản gắn liền với đất) của tổ chức trong nước, tổ chức nước ngoài, cá nhân nước ngoài và dự án đầu tư xây dựng nhà ở trên địa bàn tỉnh cho Sở Xây dựng. Sau khi nhận được thông tin, Sở Xây dựng thiết lập và lưu trữ hồ sơ nhà ở theo quy định tại Điều 119 và Điều 120 của Luật Nhà ở 2023.</w:t>
      </w:r>
    </w:p>
    <w:p w14:paraId="12855B8E">
      <w:pPr>
        <w:spacing w:before="120" w:after="0" w:line="340" w:lineRule="exact"/>
        <w:ind w:firstLine="567"/>
        <w:rPr>
          <w:color w:val="auto"/>
          <w:szCs w:val="28"/>
        </w:rPr>
      </w:pPr>
      <w:r>
        <w:rPr>
          <w:color w:val="auto"/>
          <w:szCs w:val="28"/>
        </w:rPr>
        <w:t>2. Chi nhánh Văn phòng đăng ký đất đai cung cấp thông tin về nhà ở (bao gồm toàn bộ các thông tin được ghi trong Giấy chứng nhận quyền sử dụng đất, quyền sở hữu tài sản gắn liền với đất) của hộ gia đình, cá nhân trong nước, người Việt Nam định cư ở nước ngoài trên địa bàn phường, xã cho Ủy ban nhân dân cấp xã. Sau khi nhận được thông tin của Chi nhánh Văn phòng đăng ký đất đai, Ủy ban nhân dân cấp xã thiết lập và lưu trữ hồ sơ nhà ở theo quy định tại Điều 119 và Điều 120 của Luật Nhà ở 2023.</w:t>
      </w:r>
    </w:p>
    <w:p w14:paraId="71DF345D">
      <w:pPr>
        <w:widowControl w:val="0"/>
        <w:spacing w:before="120" w:after="0" w:line="340" w:lineRule="exact"/>
        <w:ind w:right="0" w:firstLine="567"/>
        <w:jc w:val="left"/>
        <w:outlineLvl w:val="0"/>
        <w:rPr>
          <w:b/>
          <w:bCs/>
          <w:color w:val="auto"/>
          <w:szCs w:val="28"/>
        </w:rPr>
      </w:pPr>
      <w:r>
        <w:rPr>
          <w:b/>
          <w:bCs/>
          <w:color w:val="auto"/>
          <w:szCs w:val="28"/>
        </w:rPr>
        <w:t xml:space="preserve">Điều 6. Quản lý, rà soát dữ liệu </w:t>
      </w:r>
    </w:p>
    <w:p w14:paraId="213CD5BD">
      <w:pPr>
        <w:widowControl w:val="0"/>
        <w:spacing w:before="120" w:after="0" w:line="340" w:lineRule="exact"/>
        <w:ind w:firstLine="567"/>
        <w:rPr>
          <w:color w:val="auto"/>
          <w:szCs w:val="28"/>
        </w:rPr>
      </w:pPr>
      <w:r>
        <w:rPr>
          <w:color w:val="auto"/>
          <w:szCs w:val="28"/>
        </w:rPr>
        <w:t xml:space="preserve">a) Thông tin, dữ liệu trên hệ thống được xây dựng, quản lý, sử dụng phải đảm bảo đúng mục đích, tuân theo các quy định về quản lý, kết nối và chia sẻ dữ liệu số của cơ quan nhà nước, pháp luật về dữ liệu, pháp luật về giao dịch điện tử và pháp luật về tiếp cận thông tin. </w:t>
      </w:r>
    </w:p>
    <w:p w14:paraId="47776B86">
      <w:pPr>
        <w:widowControl w:val="0"/>
        <w:spacing w:before="120" w:after="0" w:line="340" w:lineRule="exact"/>
        <w:ind w:firstLine="567"/>
        <w:rPr>
          <w:color w:val="auto"/>
          <w:szCs w:val="28"/>
        </w:rPr>
      </w:pPr>
      <w:r>
        <w:rPr>
          <w:color w:val="auto"/>
          <w:szCs w:val="28"/>
        </w:rPr>
        <w:t xml:space="preserve">b) Thực hiện rà soát, chuẩn hóa, làm sạch dữ liệu định kỳ; đồng thời có cơ chế kiểm soát chất lượng dữ liệu nhằm bảo đảm tính đầy đủ, chính xác và đồng bộ của thông tin, dữ liệu trước khi thực hiện chia sẻ, khai thác. </w:t>
      </w:r>
    </w:p>
    <w:p w14:paraId="1802573F">
      <w:pPr>
        <w:widowControl w:val="0"/>
        <w:spacing w:before="120" w:after="0" w:line="340" w:lineRule="exact"/>
        <w:ind w:firstLine="567"/>
        <w:rPr>
          <w:b/>
          <w:bCs/>
          <w:color w:val="auto"/>
          <w:szCs w:val="28"/>
        </w:rPr>
      </w:pPr>
      <w:r>
        <w:rPr>
          <w:b/>
          <w:bCs/>
          <w:color w:val="auto"/>
          <w:szCs w:val="28"/>
        </w:rPr>
        <w:t xml:space="preserve">Điều 7. Bảo mật và an toàn thông tin </w:t>
      </w:r>
    </w:p>
    <w:p w14:paraId="17149878">
      <w:pPr>
        <w:widowControl w:val="0"/>
        <w:spacing w:before="120" w:after="0" w:line="340" w:lineRule="exact"/>
        <w:ind w:firstLine="567"/>
        <w:rPr>
          <w:color w:val="auto"/>
          <w:spacing w:val="-4"/>
          <w:szCs w:val="28"/>
        </w:rPr>
      </w:pPr>
      <w:r>
        <w:rPr>
          <w:color w:val="auto"/>
          <w:spacing w:val="-4"/>
          <w:szCs w:val="28"/>
        </w:rPr>
        <w:t xml:space="preserve">1. Các cơ quan, tổ chức, cá nhân khai thác và sử dụng thông tin, dữ liệu có trách nhiệm bảo đảm an toàn thông tin và bảo mật dữ liệu theo quy định của pháp luật. </w:t>
      </w:r>
    </w:p>
    <w:p w14:paraId="244F3D0C">
      <w:pPr>
        <w:widowControl w:val="0"/>
        <w:spacing w:before="120" w:after="0" w:line="340" w:lineRule="exact"/>
        <w:ind w:firstLine="567"/>
        <w:rPr>
          <w:color w:val="auto"/>
          <w:spacing w:val="-2"/>
          <w:szCs w:val="28"/>
        </w:rPr>
      </w:pPr>
      <w:r>
        <w:rPr>
          <w:color w:val="auto"/>
          <w:spacing w:val="-2"/>
          <w:szCs w:val="28"/>
        </w:rPr>
        <w:t xml:space="preserve">2. Nghiêm cấm việc truy cập trái phép, khai thác hoặc sử dụng thông tin, dữ liệu không đúng mục đích, làm sai lệch hoặc làm lộ thông tin, dữ liệu trên hệ thống. </w:t>
      </w:r>
    </w:p>
    <w:p w14:paraId="54951E0B">
      <w:pPr>
        <w:widowControl w:val="0"/>
        <w:spacing w:before="120" w:after="0" w:line="340" w:lineRule="exact"/>
        <w:ind w:firstLine="567"/>
        <w:rPr>
          <w:color w:val="auto"/>
          <w:szCs w:val="28"/>
        </w:rPr>
      </w:pPr>
      <w:r>
        <w:rPr>
          <w:color w:val="auto"/>
          <w:szCs w:val="28"/>
        </w:rPr>
        <w:t xml:space="preserve">3. Trường hợp phát hiện sự cố liên quan đến an toàn thông tin hoặc dữ liệu trên hệ thống, các cơ quan, đơn vị có trách nhiệm kịp thời thông báo cho Sở Xây dựng để phối hợp xử lý theo quy định. </w:t>
      </w:r>
    </w:p>
    <w:p w14:paraId="04B624C6">
      <w:pPr>
        <w:widowControl w:val="0"/>
        <w:spacing w:before="120" w:after="0" w:line="340" w:lineRule="exact"/>
        <w:ind w:right="0" w:firstLine="567"/>
        <w:jc w:val="left"/>
        <w:outlineLvl w:val="0"/>
        <w:rPr>
          <w:b/>
          <w:bCs/>
          <w:color w:val="auto"/>
          <w:szCs w:val="28"/>
        </w:rPr>
      </w:pPr>
      <w:r>
        <w:rPr>
          <w:b/>
          <w:bCs/>
          <w:color w:val="auto"/>
          <w:szCs w:val="28"/>
        </w:rPr>
        <w:t xml:space="preserve">Điều 8. Kinh phí thực hiện  </w:t>
      </w:r>
    </w:p>
    <w:p w14:paraId="4D2D9822">
      <w:pPr>
        <w:widowControl w:val="0"/>
        <w:spacing w:before="120" w:after="0" w:line="340" w:lineRule="exact"/>
        <w:ind w:right="0" w:firstLine="567"/>
        <w:outlineLvl w:val="0"/>
        <w:rPr>
          <w:color w:val="EE0000"/>
          <w:szCs w:val="28"/>
        </w:rPr>
      </w:pPr>
      <w:r>
        <w:rPr>
          <w:color w:val="EE0000"/>
          <w:szCs w:val="28"/>
        </w:rPr>
        <w:t>Kinh phí phục vụ công tác điều tra, thu thập thông tin phục vụ xây dựng cơ sở dữ liệu, quản lý, vận hành cơ sở dữ liệu về nhà ở và thị trường bất động sản và đầu tư, duy trì, nâng cấp hạ tầng kỹ thuật công nghệ thông tin do địa phương thực hiện được đảm bảo từ ngân sách địa phương theo phân cấp ngân sách hiện hành và phù hợp với khả năng cân đối của ngân sách địa phương.</w:t>
      </w:r>
    </w:p>
    <w:p w14:paraId="41C88B7E">
      <w:pPr>
        <w:widowControl w:val="0"/>
        <w:spacing w:before="120" w:after="0" w:line="340" w:lineRule="exact"/>
        <w:ind w:right="0" w:firstLine="567"/>
        <w:jc w:val="left"/>
        <w:outlineLvl w:val="0"/>
        <w:rPr>
          <w:b/>
          <w:bCs/>
          <w:color w:val="auto"/>
          <w:szCs w:val="28"/>
        </w:rPr>
      </w:pPr>
      <w:r>
        <w:rPr>
          <w:b/>
          <w:bCs/>
          <w:color w:val="auto"/>
          <w:szCs w:val="28"/>
        </w:rPr>
        <w:t xml:space="preserve">Điều 9. Điều khoản chuyển tiếp  </w:t>
      </w:r>
    </w:p>
    <w:p w14:paraId="7E916765">
      <w:pPr>
        <w:widowControl w:val="0"/>
        <w:spacing w:before="120" w:after="0" w:line="340" w:lineRule="exact"/>
        <w:ind w:firstLine="567"/>
        <w:rPr>
          <w:color w:val="auto"/>
          <w:szCs w:val="28"/>
        </w:rPr>
      </w:pPr>
      <w:r>
        <w:rPr>
          <w:color w:val="auto"/>
          <w:szCs w:val="28"/>
        </w:rPr>
        <w:t xml:space="preserve">1. </w:t>
      </w:r>
      <w:r>
        <w:rPr>
          <w:color w:val="auto"/>
          <w:spacing w:val="-2"/>
          <w:szCs w:val="28"/>
        </w:rPr>
        <w:t xml:space="preserve">Các sở, ban, ngành; UBND các phường, xã và các tổ chức, cá nhân có liên quan </w:t>
      </w:r>
      <w:r>
        <w:rPr>
          <w:color w:val="auto"/>
          <w:szCs w:val="28"/>
        </w:rPr>
        <w:t xml:space="preserve">thực hiện xây dựng, cập nhật, chuẩn hóa dữ liệu đã có trước khi Quy chế này có hiệu lực thi hành đảm bảo theo đúng quy định tại khoản 1 Điều 40 Nghị định số 357/2025/NĐ-CP. </w:t>
      </w:r>
    </w:p>
    <w:p w14:paraId="480F5852">
      <w:pPr>
        <w:widowControl w:val="0"/>
        <w:spacing w:before="120" w:after="0" w:line="340" w:lineRule="exact"/>
        <w:ind w:firstLine="567"/>
        <w:rPr>
          <w:color w:val="auto"/>
          <w:szCs w:val="28"/>
        </w:rPr>
      </w:pPr>
      <w:r>
        <w:rPr>
          <w:color w:val="auto"/>
          <w:szCs w:val="28"/>
        </w:rPr>
        <w:t xml:space="preserve">2. Trường hợp đến thời điểm Quy chế này có hiệu lực thi hành mà hệ thống phần mềm của Bộ Xây dựng chưa đáp ứng yêu cầu để thực hiện kết nối, chia sẻ dữ liệu thì thực hiện chế độ báo cáo, cung cấp thông tin theo quy định tại khoản 2 Điều 40 Nghị định số 357/2025/NĐ-CP của Chính phủ. </w:t>
      </w:r>
    </w:p>
    <w:p w14:paraId="377FD555">
      <w:pPr>
        <w:widowControl w:val="0"/>
        <w:spacing w:before="120" w:after="0" w:line="340" w:lineRule="exact"/>
        <w:ind w:right="0" w:firstLine="567"/>
        <w:jc w:val="left"/>
        <w:outlineLvl w:val="0"/>
        <w:rPr>
          <w:b/>
          <w:bCs/>
          <w:color w:val="auto"/>
          <w:szCs w:val="28"/>
        </w:rPr>
      </w:pPr>
      <w:r>
        <w:rPr>
          <w:b/>
          <w:bCs/>
          <w:color w:val="auto"/>
          <w:szCs w:val="28"/>
        </w:rPr>
        <w:t xml:space="preserve">Điều 10. Trách nhiệm thi hành </w:t>
      </w:r>
    </w:p>
    <w:p w14:paraId="611F501F">
      <w:pPr>
        <w:widowControl w:val="0"/>
        <w:spacing w:before="120" w:after="0" w:line="340" w:lineRule="exact"/>
        <w:ind w:firstLine="567"/>
        <w:rPr>
          <w:color w:val="auto"/>
          <w:szCs w:val="28"/>
        </w:rPr>
      </w:pPr>
      <w:r>
        <w:rPr>
          <w:color w:val="auto"/>
          <w:szCs w:val="28"/>
        </w:rPr>
        <w:t>1. Sở Xây dựng:</w:t>
      </w:r>
    </w:p>
    <w:p w14:paraId="1745631C">
      <w:pPr>
        <w:widowControl w:val="0"/>
        <w:spacing w:before="120" w:after="0" w:line="340" w:lineRule="exact"/>
        <w:ind w:firstLine="567"/>
        <w:rPr>
          <w:color w:val="auto"/>
          <w:szCs w:val="28"/>
        </w:rPr>
      </w:pPr>
      <w:r>
        <w:rPr>
          <w:color w:val="auto"/>
          <w:szCs w:val="28"/>
        </w:rPr>
        <w:t xml:space="preserve">- Chịu trách nhiệm theo dõi, đôn đốc, kiểm tra các cơ quan, đơn vị, địa phương và doanh nghiệp thực hiện Quy chế này. </w:t>
      </w:r>
    </w:p>
    <w:p w14:paraId="068A9CEA">
      <w:pPr>
        <w:widowControl w:val="0"/>
        <w:spacing w:before="120" w:after="0" w:line="340" w:lineRule="exact"/>
        <w:ind w:firstLine="567"/>
        <w:rPr>
          <w:color w:val="EE0000"/>
          <w:szCs w:val="28"/>
        </w:rPr>
      </w:pPr>
      <w:r>
        <w:rPr>
          <w:color w:val="EE0000"/>
          <w:szCs w:val="28"/>
        </w:rPr>
        <w:t xml:space="preserve">- </w:t>
      </w:r>
      <w:r>
        <w:rPr>
          <w:color w:val="EE0000"/>
        </w:rPr>
        <w:t>Tiếp nhận, hướng dẫn và phối hợp với các đơn vị trong việc xử lý lỗi hệ thống, sự cố dữ liệu và khó khăn, vướng mắc phát sinh trong quá trình chia sẻ, cập nhật dữ liệu (nếu có).</w:t>
      </w:r>
    </w:p>
    <w:p w14:paraId="049CB10B">
      <w:pPr>
        <w:widowControl w:val="0"/>
        <w:spacing w:before="120" w:after="0" w:line="340" w:lineRule="exact"/>
        <w:ind w:firstLine="567"/>
        <w:rPr>
          <w:color w:val="EE0000"/>
          <w:szCs w:val="28"/>
        </w:rPr>
      </w:pPr>
      <w:r>
        <w:rPr>
          <w:color w:val="EE0000"/>
          <w:szCs w:val="28"/>
        </w:rPr>
        <w:t xml:space="preserve">- </w:t>
      </w:r>
      <w:r>
        <w:rPr>
          <w:color w:val="EE0000"/>
        </w:rPr>
        <w:t>Tổng hợp đề xuất kinh phí thực hiện của các cơ quan, đơn vị, địa phương (nếu có), gửi Sở Tài chính tham mưu cấp có thẩm quyền bố trí kinh phí thực hiện theo quy định của pháp luật về ngân sách nhà nước.</w:t>
      </w:r>
    </w:p>
    <w:p w14:paraId="3D253C9E">
      <w:pPr>
        <w:widowControl w:val="0"/>
        <w:spacing w:before="120" w:after="0" w:line="340" w:lineRule="exact"/>
        <w:ind w:firstLine="567"/>
        <w:rPr>
          <w:color w:val="EE0000"/>
          <w:szCs w:val="28"/>
        </w:rPr>
      </w:pPr>
      <w:r>
        <w:rPr>
          <w:color w:val="EE0000"/>
          <w:szCs w:val="28"/>
        </w:rPr>
        <w:t>2. Sở Tài chính trên cơ sở báo cáo tổng hợp đề xuất của Sở Xây dựng, tham mưu cấp có thẩm quyền bố trí kinh phí thực hiện các nhiệm vụ điều tra, thu thập thông tin phục vụ xây dựng cơ sở dữ liệu, quản lý, vận hành cơ sở dữ liệu về nhà ở và thị trường bất động sản và đầu tư, duy trì, nâng cấp hạ tầng kỹ thuật công nghệ thông tin từ nguồn chi thường xuyên theo phân cấp quản lý ngân sách nhà nước hiện hành và khả năng cân đối của ngân sách địa phương.</w:t>
      </w:r>
    </w:p>
    <w:p w14:paraId="5A35A9E3">
      <w:pPr>
        <w:widowControl w:val="0"/>
        <w:spacing w:before="120" w:after="0" w:line="340" w:lineRule="exact"/>
        <w:ind w:firstLine="567"/>
        <w:rPr>
          <w:color w:val="auto"/>
          <w:szCs w:val="28"/>
        </w:rPr>
      </w:pPr>
      <w:r>
        <w:rPr>
          <w:color w:val="auto"/>
          <w:szCs w:val="28"/>
        </w:rPr>
        <w:t xml:space="preserve">3. Sở Khoa học và Công nghệ chủ trì, phối hợp với Sở Xây dựng hướng dẫn, đánh giá các cơ quan, tổ chức đảm bảo tuân thủ các quy định, tiêu chuẩn, quy chuẩn về ứng dụng công nghệ thông tin trong công tác xây dựng cơ sở dữ liệu, quản lý, vận hành cơ sở dữ liệu về nhà ở và thị trường bất động sản theo quy định </w:t>
      </w:r>
      <w:r>
        <w:rPr>
          <w:color w:val="EE0000"/>
          <w:szCs w:val="28"/>
        </w:rPr>
        <w:t>(ngoại trừ Cơ sở dữ liệu quốc gia về dân cư thuộc phạm vi quản lý của ngành Công an).</w:t>
      </w:r>
    </w:p>
    <w:p w14:paraId="7E92DEC1">
      <w:pPr>
        <w:widowControl w:val="0"/>
        <w:spacing w:before="120" w:after="0" w:line="340" w:lineRule="exact"/>
        <w:ind w:firstLine="567"/>
        <w:rPr>
          <w:color w:val="auto"/>
          <w:szCs w:val="28"/>
        </w:rPr>
      </w:pPr>
      <w:r>
        <w:rPr>
          <w:color w:val="auto"/>
          <w:szCs w:val="28"/>
        </w:rPr>
        <w:t xml:space="preserve">4. </w:t>
      </w:r>
      <w:r>
        <w:rPr>
          <w:color w:val="auto"/>
          <w:spacing w:val="-2"/>
          <w:szCs w:val="28"/>
        </w:rPr>
        <w:t>Các sở, ban, ngành; UBND các phường, xã và các tổ chức, cá nhân có liên quan có trách nhiệm và quyền hạn theo quy định tại Điều 39</w:t>
      </w:r>
      <w:r>
        <w:rPr>
          <w:color w:val="auto"/>
          <w:szCs w:val="28"/>
        </w:rPr>
        <w:t xml:space="preserve"> Nghị định số 357/2025/NĐ-CP; Thực hiện thu thập, chia sẻ, cung cấp các thông tin dữ liệu liên quan đến lĩnh vực nhà ở và thị trường bất động sản và cung cấp thông tin về nhà ở để thiết lập hồ sơ nhà ở được quy định tại Điều 4, Điều 5 của Quy chế này.</w:t>
      </w:r>
    </w:p>
    <w:p w14:paraId="3FF409C3">
      <w:pPr>
        <w:widowControl w:val="0"/>
        <w:spacing w:before="120" w:after="0" w:line="340" w:lineRule="exact"/>
        <w:ind w:firstLine="567"/>
        <w:rPr>
          <w:color w:val="EE0000"/>
          <w:szCs w:val="28"/>
        </w:rPr>
      </w:pPr>
      <w:r>
        <w:rPr>
          <w:color w:val="EE0000"/>
          <w:szCs w:val="28"/>
        </w:rPr>
        <w:t xml:space="preserve">5. Ủy ban nhân dân các phường, xã </w:t>
      </w:r>
      <w:r>
        <w:rPr>
          <w:color w:val="EE0000"/>
        </w:rPr>
        <w:t>chủ động cân đối ngân sách cấp xã để thực hiện các nhiệm vụ thuộc trách nhiệm đảm bảo của ngân sách cấp xã.</w:t>
      </w:r>
    </w:p>
    <w:p w14:paraId="5B7BF8E1">
      <w:pPr>
        <w:widowControl w:val="0"/>
        <w:spacing w:before="120" w:after="0" w:line="340" w:lineRule="exact"/>
        <w:ind w:firstLine="567"/>
        <w:rPr>
          <w:color w:val="auto"/>
          <w:szCs w:val="28"/>
        </w:rPr>
      </w:pPr>
      <w:r>
        <w:rPr>
          <w:color w:val="auto"/>
          <w:szCs w:val="28"/>
        </w:rPr>
        <w:t xml:space="preserve">6. Trong quá trình tổ chức triển khai thực hiện, nếu có phát sinh khó khăn, vướng mắc, các cơ quan, đơn vị, tổ chức, cá nhân phản ánh kịp thời bằng văn bản về Sở Xây dựng để tổng hợp, báo cáo Ủy ban nhân dân tỉnh xem xét sửa đổi, bổ sung cho phù hợp./. </w:t>
      </w:r>
    </w:p>
    <w:p w14:paraId="78064B96">
      <w:pPr>
        <w:rPr>
          <w:color w:val="auto"/>
          <w:szCs w:val="28"/>
        </w:rPr>
      </w:pPr>
    </w:p>
    <w:p w14:paraId="1F21FFCE">
      <w:pPr>
        <w:spacing w:after="160" w:line="278" w:lineRule="auto"/>
        <w:ind w:right="0" w:firstLine="0"/>
        <w:jc w:val="left"/>
        <w:rPr>
          <w:color w:val="auto"/>
        </w:rPr>
      </w:pPr>
    </w:p>
    <w:sectPr>
      <w:headerReference r:id="rId7" w:type="first"/>
      <w:headerReference r:id="rId5" w:type="default"/>
      <w:headerReference r:id="rId6" w:type="even"/>
      <w:pgSz w:w="11906" w:h="16841"/>
      <w:pgMar w:top="1134" w:right="1134" w:bottom="1134" w:left="1701" w:header="624" w:footer="720" w:gutter="0"/>
      <w:pgNumType w:start="1"/>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9" w:lineRule="auto"/>
      </w:pPr>
      <w:r>
        <w:separator/>
      </w:r>
    </w:p>
  </w:footnote>
  <w:footnote w:type="continuationSeparator" w:id="1">
    <w:p>
      <w:pPr>
        <w:spacing w:before="0" w:after="0" w:line="24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23F58">
    <w:pPr>
      <w:spacing w:after="0" w:line="259" w:lineRule="auto"/>
      <w:ind w:right="4" w:firstLine="0"/>
      <w:jc w:val="center"/>
    </w:pPr>
    <w:r>
      <w:fldChar w:fldCharType="begin"/>
    </w:r>
    <w:r>
      <w:instrText xml:space="preserve"> PAGE   \* MERGEFORMAT </w:instrText>
    </w:r>
    <w:r>
      <w:fldChar w:fldCharType="separate"/>
    </w:r>
    <w:r>
      <w:rPr>
        <w:sz w:val="24"/>
      </w:rPr>
      <w:t>7</w:t>
    </w:r>
    <w:r>
      <w:rPr>
        <w:sz w:val="24"/>
      </w:rPr>
      <w:fldChar w:fldCharType="end"/>
    </w:r>
    <w:r>
      <w:rPr>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D93E0">
    <w:pPr>
      <w:spacing w:after="0" w:line="259" w:lineRule="auto"/>
      <w:ind w:right="4" w:firstLine="0"/>
      <w:jc w:val="center"/>
      <w:rPr>
        <w:szCs w:val="28"/>
      </w:rPr>
    </w:pPr>
    <w:r>
      <w:rPr>
        <w:szCs w:val="28"/>
      </w:rPr>
      <w:fldChar w:fldCharType="begin"/>
    </w:r>
    <w:r>
      <w:rPr>
        <w:szCs w:val="28"/>
      </w:rPr>
      <w:instrText xml:space="preserve"> PAGE   \* MERGEFORMAT </w:instrText>
    </w:r>
    <w:r>
      <w:rPr>
        <w:szCs w:val="28"/>
      </w:rPr>
      <w:fldChar w:fldCharType="separate"/>
    </w:r>
    <w:r>
      <w:rPr>
        <w:szCs w:val="28"/>
      </w:rPr>
      <w:t>8</w:t>
    </w:r>
    <w:r>
      <w:rPr>
        <w:szCs w:val="28"/>
      </w:rPr>
      <w:fldChar w:fldCharType="end"/>
    </w:r>
    <w:r>
      <w:rPr>
        <w:szCs w:val="2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FEEA3">
    <w:pPr>
      <w:spacing w:after="0" w:line="259" w:lineRule="auto"/>
      <w:ind w:right="4" w:firstLine="0"/>
      <w:jc w:val="center"/>
      <w:rPr>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evenAndOddHeaders w:val="1"/>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F8235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3" w:line="249" w:lineRule="auto"/>
      <w:ind w:right="2" w:firstLine="710"/>
      <w:jc w:val="both"/>
    </w:pPr>
    <w:rPr>
      <w:rFonts w:ascii="Times New Roman" w:hAnsi="Times New Roman" w:eastAsia="Times New Roman" w:cs="Times New Roman"/>
      <w:color w:val="000000"/>
      <w:kern w:val="2"/>
      <w:sz w:val="28"/>
      <w:szCs w:val="24"/>
      <w:lang w:val="en-US" w:eastAsia="en-US" w:bidi="ar-SA"/>
      <w14:ligatures w14:val="standardContextual"/>
    </w:rPr>
  </w:style>
  <w:style w:type="paragraph" w:styleId="2">
    <w:name w:val="heading 1"/>
    <w:next w:val="1"/>
    <w:link w:val="7"/>
    <w:qFormat/>
    <w:uiPriority w:val="9"/>
    <w:pPr>
      <w:keepNext/>
      <w:keepLines/>
      <w:spacing w:after="74" w:line="270" w:lineRule="auto"/>
      <w:ind w:left="10" w:right="6" w:hanging="10"/>
      <w:outlineLvl w:val="0"/>
    </w:pPr>
    <w:rPr>
      <w:rFonts w:ascii="Times New Roman" w:hAnsi="Times New Roman" w:eastAsia="Times New Roman" w:cs="Times New Roman"/>
      <w:b/>
      <w:color w:val="000000"/>
      <w:kern w:val="2"/>
      <w:sz w:val="28"/>
      <w:szCs w:val="24"/>
      <w:lang w:val="en-US" w:eastAsia="en-US" w:bidi="ar-SA"/>
      <w14:ligatures w14:val="standardContextual"/>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9"/>
    <w:unhideWhenUsed/>
    <w:qFormat/>
    <w:uiPriority w:val="99"/>
    <w:pPr>
      <w:tabs>
        <w:tab w:val="center" w:pos="4680"/>
        <w:tab w:val="right" w:pos="9360"/>
      </w:tabs>
      <w:spacing w:after="0" w:line="240" w:lineRule="auto"/>
    </w:pPr>
  </w:style>
  <w:style w:type="table" w:styleId="6">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Heading 1 Char"/>
    <w:link w:val="2"/>
    <w:qFormat/>
    <w:uiPriority w:val="0"/>
    <w:rPr>
      <w:rFonts w:ascii="Times New Roman" w:hAnsi="Times New Roman" w:eastAsia="Times New Roman" w:cs="Times New Roman"/>
      <w:b/>
      <w:color w:val="000000"/>
      <w:sz w:val="28"/>
    </w:rPr>
  </w:style>
  <w:style w:type="paragraph" w:styleId="8">
    <w:name w:val="List Paragraph"/>
    <w:basedOn w:val="1"/>
    <w:qFormat/>
    <w:uiPriority w:val="34"/>
    <w:pPr>
      <w:ind w:left="720"/>
      <w:contextualSpacing/>
    </w:pPr>
  </w:style>
  <w:style w:type="character" w:customStyle="1" w:styleId="9">
    <w:name w:val="Footer Char"/>
    <w:basedOn w:val="3"/>
    <w:link w:val="5"/>
    <w:qFormat/>
    <w:uiPriority w:val="99"/>
    <w:rPr>
      <w:rFonts w:ascii="Times New Roman" w:hAnsi="Times New Roman" w:eastAsia="Times New Roman" w:cs="Times New Roman"/>
      <w:color w:val="000000"/>
      <w:sz w:val="28"/>
    </w:rPr>
  </w:style>
  <w:style w:type="paragraph" w:styleId="10">
    <w:name w:val="No Spacing"/>
    <w:qFormat/>
    <w:uiPriority w:val="1"/>
    <w:pPr>
      <w:spacing w:after="0" w:line="240" w:lineRule="auto"/>
      <w:ind w:right="2" w:firstLine="710"/>
      <w:jc w:val="both"/>
    </w:pPr>
    <w:rPr>
      <w:rFonts w:ascii="Times New Roman" w:hAnsi="Times New Roman" w:eastAsia="Times New Roman" w:cs="Times New Roman"/>
      <w:color w:val="000000"/>
      <w:kern w:val="2"/>
      <w:sz w:val="28"/>
      <w:szCs w:val="24"/>
      <w:lang w:val="en-US" w:eastAsia="en-US" w:bidi="ar-SA"/>
      <w14:ligatures w14:val="standardContextual"/>
    </w:rPr>
  </w:style>
  <w:style w:type="table" w:customStyle="1" w:styleId="11">
    <w:name w:val="Table Grid1"/>
    <w:basedOn w:val="4"/>
    <w:qFormat/>
    <w:uiPriority w:val="59"/>
    <w:pPr>
      <w:spacing w:after="0" w:line="240" w:lineRule="auto"/>
    </w:pPr>
    <w:rPr>
      <w:rFonts w:eastAsia="Calibri"/>
      <w:kern w:val="0"/>
      <w:sz w:val="20"/>
      <w:szCs w:val="20"/>
      <w:lang w:val="en-SG" w:eastAsia="en-SG"/>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3586</Words>
  <Characters>12452</Characters>
  <Lines>114</Lines>
  <Paragraphs>32</Paragraphs>
  <TotalTime>1377</TotalTime>
  <ScaleCrop>false</ScaleCrop>
  <LinksUpToDate>false</LinksUpToDate>
  <CharactersWithSpaces>16059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2026-05-28T08:01:00Z</dcterms:created>
  <dc:creator>User</dc:creator>
  <cp:lastModifiedBy>user</cp:lastModifiedBy>
  <cp:lastPrinted>2026-06-10T04:17:00Z</cp:lastPrinted>
  <dcterms:modified xsi:type="dcterms:W3CDTF">2026-10-07T07:24:56Z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81897DE47B4F4A899274235A8DFD040F_13</vt:lpwstr>
  </property>
</Properties>
</file>