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9924" w:type="dxa"/>
        <w:tblInd w:w="122" w:type="dxa"/>
        <w:tblLayout w:type="autofit"/>
        <w:tblCellMar>
          <w:top w:w="0" w:type="dxa"/>
          <w:left w:w="108" w:type="dxa"/>
          <w:bottom w:w="0" w:type="dxa"/>
          <w:right w:w="108" w:type="dxa"/>
        </w:tblCellMar>
      </w:tblPr>
      <w:tblGrid>
        <w:gridCol w:w="3989"/>
        <w:gridCol w:w="5935"/>
      </w:tblGrid>
      <w:tr w14:paraId="1DE87738">
        <w:tblPrEx>
          <w:tblCellMar>
            <w:top w:w="0" w:type="dxa"/>
            <w:left w:w="108" w:type="dxa"/>
            <w:bottom w:w="0" w:type="dxa"/>
            <w:right w:w="108" w:type="dxa"/>
          </w:tblCellMar>
        </w:tblPrEx>
        <w:tc>
          <w:tcPr>
            <w:tcW w:w="3989" w:type="dxa"/>
          </w:tcPr>
          <w:p w14:paraId="4D6FACB6">
            <w:pPr>
              <w:keepNext/>
              <w:spacing w:after="0" w:line="240" w:lineRule="auto"/>
              <w:jc w:val="center"/>
              <w:outlineLvl w:val="1"/>
              <w:rPr>
                <w:rFonts w:eastAsia="Times New Roman" w:cs="Times New Roman"/>
                <w:b/>
                <w:kern w:val="0"/>
                <w:sz w:val="24"/>
                <w:szCs w:val="24"/>
                <w14:ligatures w14:val="none"/>
              </w:rPr>
            </w:pPr>
            <w:bookmarkStart w:id="5" w:name="_GoBack"/>
            <w:bookmarkEnd w:id="5"/>
            <w:r>
              <w:rPr>
                <w:rFonts w:eastAsia="Times New Roman" w:cs="Times New Roman"/>
                <w:b/>
                <w:kern w:val="0"/>
                <w:sz w:val="24"/>
                <w:szCs w:val="24"/>
                <w:lang w:val="vi-VN"/>
                <w14:ligatures w14:val="none"/>
              </w:rPr>
              <w:t xml:space="preserve">CHỦ TỊCH </w:t>
            </w:r>
            <w:r>
              <w:rPr>
                <w:rFonts w:eastAsia="Times New Roman" w:cs="Times New Roman"/>
                <w:b/>
                <w:kern w:val="0"/>
                <w:sz w:val="24"/>
                <w:szCs w:val="24"/>
                <w14:ligatures w14:val="none"/>
              </w:rPr>
              <w:t xml:space="preserve">ỦY BAN NHÂN DÂN TỈNH </w:t>
            </w:r>
            <w:r>
              <w:rPr>
                <w:rFonts w:eastAsia="Times New Roman" w:cs="Times New Roman"/>
                <w:b/>
                <w:kern w:val="0"/>
                <w:sz w:val="24"/>
                <w:szCs w:val="24"/>
                <w:lang w:val="vi-VN"/>
                <w14:ligatures w14:val="none"/>
              </w:rPr>
              <w:t>HÀ TĨNH</w:t>
            </w:r>
          </w:p>
          <w:p w14:paraId="50419C55">
            <w:pPr>
              <w:keepNext/>
              <w:spacing w:after="0" w:line="240" w:lineRule="auto"/>
              <w:jc w:val="center"/>
              <w:outlineLvl w:val="1"/>
              <w:rPr>
                <w:rFonts w:eastAsia="Times New Roman" w:cs="Times New Roman"/>
                <w:b/>
                <w:bCs/>
                <w:kern w:val="0"/>
                <w:sz w:val="26"/>
                <w:szCs w:val="26"/>
                <w14:ligatures w14:val="none"/>
              </w:rPr>
            </w:pPr>
            <w:r>
              <w:rPr>
                <w:rFonts w:eastAsia="Times New Roman" w:cs="Times New Roman"/>
                <w:kern w:val="0"/>
                <w:sz w:val="24"/>
                <w:szCs w:val="24"/>
                <w14:ligatures w14:val="none"/>
              </w:rPr>
              <mc:AlternateContent>
                <mc:Choice Requires="wps">
                  <w:drawing>
                    <wp:anchor distT="0" distB="0" distL="114300" distR="114300" simplePos="0" relativeHeight="251659264" behindDoc="0" locked="0" layoutInCell="1" allowOverlap="1">
                      <wp:simplePos x="0" y="0"/>
                      <wp:positionH relativeFrom="column">
                        <wp:posOffset>873125</wp:posOffset>
                      </wp:positionH>
                      <wp:positionV relativeFrom="paragraph">
                        <wp:posOffset>33020</wp:posOffset>
                      </wp:positionV>
                      <wp:extent cx="539750" cy="0"/>
                      <wp:effectExtent l="0" t="0" r="0" b="0"/>
                      <wp:wrapNone/>
                      <wp:docPr id="2" name="Line 6"/>
                      <wp:cNvGraphicFramePr/>
                      <a:graphic xmlns:a="http://schemas.openxmlformats.org/drawingml/2006/main">
                        <a:graphicData uri="http://schemas.microsoft.com/office/word/2010/wordprocessingShape">
                          <wps:wsp>
                            <wps:cNvCnPr>
                              <a:cxnSpLocks noChangeShapeType="1"/>
                            </wps:cNvCnPr>
                            <wps:spPr bwMode="auto">
                              <a:xfrm>
                                <a:off x="0" y="0"/>
                                <a:ext cx="540000" cy="0"/>
                              </a:xfrm>
                              <a:prstGeom prst="line">
                                <a:avLst/>
                              </a:prstGeom>
                              <a:noFill/>
                              <a:ln w="9525">
                                <a:solidFill>
                                  <a:srgbClr val="000000"/>
                                </a:solidFill>
                                <a:round/>
                              </a:ln>
                            </wps:spPr>
                            <wps:bodyPr/>
                          </wps:wsp>
                        </a:graphicData>
                      </a:graphic>
                    </wp:anchor>
                  </w:drawing>
                </mc:Choice>
                <mc:Fallback>
                  <w:pict>
                    <v:line id="Line 6" o:spid="_x0000_s1026" o:spt="20" style="position:absolute;left:0pt;margin-left:68.75pt;margin-top:2.6pt;height:0pt;width:42.5pt;z-index:251659264;mso-width-relative:page;mso-height-relative:page;" filled="f" stroked="t" coordsize="21600,21600" o:gfxdata="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pE7b20gAAAAcBAAAPAAAAAAAAAAEAIAAAACIAAABkcnMvZG93bnJldi54&#10;bWxQSwECFAAUAAAACACHTuJAzf9xmscBAACeAwAADgAAAAAAAAABACAAAAAhAQAAZHJzL2Uyb0Rv&#10;Yy54bWxQSwUGAAAAAAYABgBZAQAAWgUAAAAA&#10;">
                      <v:fill on="f" focussize="0,0"/>
                      <v:stroke color="#000000" joinstyle="round"/>
                      <v:imagedata o:title=""/>
                      <o:lock v:ext="edit" aspectratio="f"/>
                    </v:line>
                  </w:pict>
                </mc:Fallback>
              </mc:AlternateContent>
            </w:r>
          </w:p>
        </w:tc>
        <w:tc>
          <w:tcPr>
            <w:tcW w:w="5935" w:type="dxa"/>
          </w:tcPr>
          <w:p w14:paraId="00173709">
            <w:pPr>
              <w:keepNext/>
              <w:spacing w:after="0" w:line="240" w:lineRule="auto"/>
              <w:jc w:val="center"/>
              <w:outlineLvl w:val="1"/>
              <w:rPr>
                <w:rFonts w:eastAsia="Times New Roman" w:cs="Times New Roman"/>
                <w:b/>
                <w:bCs/>
                <w:kern w:val="0"/>
                <w:sz w:val="24"/>
                <w:szCs w:val="24"/>
                <w14:ligatures w14:val="none"/>
              </w:rPr>
            </w:pPr>
            <w:r>
              <w:rPr>
                <w:rFonts w:eastAsia="Times New Roman" w:cs="Times New Roman"/>
                <w:b/>
                <w:bCs/>
                <w:kern w:val="0"/>
                <w:sz w:val="24"/>
                <w:szCs w:val="24"/>
                <w14:ligatures w14:val="none"/>
              </w:rPr>
              <w:t>CỘNG H</w:t>
            </w:r>
            <w:r>
              <w:rPr>
                <w:rFonts w:eastAsia="Times New Roman" w:cs="Times New Roman"/>
                <w:b/>
                <w:bCs/>
                <w:kern w:val="0"/>
                <w:sz w:val="24"/>
                <w:szCs w:val="24"/>
                <w:lang w:val="vi-VN"/>
                <w14:ligatures w14:val="none"/>
              </w:rPr>
              <w:t>ÒA</w:t>
            </w:r>
            <w:r>
              <w:rPr>
                <w:rFonts w:eastAsia="Times New Roman" w:cs="Times New Roman"/>
                <w:b/>
                <w:bCs/>
                <w:kern w:val="0"/>
                <w:sz w:val="24"/>
                <w:szCs w:val="24"/>
                <w14:ligatures w14:val="none"/>
              </w:rPr>
              <w:t xml:space="preserve"> XÃ HỘI CHỦ NGHĨA VIỆT NAM</w:t>
            </w:r>
          </w:p>
          <w:p w14:paraId="15A6F2B1">
            <w:pPr>
              <w:keepNext/>
              <w:spacing w:after="0" w:line="240" w:lineRule="auto"/>
              <w:jc w:val="center"/>
              <w:outlineLvl w:val="1"/>
              <w:rPr>
                <w:rFonts w:eastAsia="Times New Roman" w:cs="Times New Roman"/>
                <w:b/>
                <w:bCs/>
                <w:kern w:val="0"/>
                <w:sz w:val="26"/>
                <w:szCs w:val="26"/>
                <w14:ligatures w14:val="none"/>
              </w:rPr>
            </w:pPr>
            <w:r>
              <w:rPr>
                <w:rFonts w:eastAsia="Times New Roman" w:cs="Times New Roman"/>
                <w:b/>
                <w:bCs/>
                <w:kern w:val="0"/>
                <w:sz w:val="26"/>
                <w:szCs w:val="26"/>
                <w14:ligatures w14:val="none"/>
              </w:rPr>
              <w:t>Độc lập - Tự do - Hạnh phúc</w:t>
            </w:r>
          </w:p>
          <w:p w14:paraId="40B94067">
            <w:pPr>
              <w:keepNext/>
              <w:spacing w:after="0" w:line="240" w:lineRule="auto"/>
              <w:jc w:val="left"/>
              <w:outlineLvl w:val="1"/>
              <w:rPr>
                <w:rFonts w:eastAsia="Times New Roman" w:cs="Times New Roman"/>
                <w:b/>
                <w:bCs/>
                <w:kern w:val="0"/>
                <w:sz w:val="24"/>
                <w:szCs w:val="24"/>
                <w14:ligatures w14:val="none"/>
              </w:rPr>
            </w:pPr>
            <w:r>
              <w:rPr>
                <w:rFonts w:eastAsia="Times New Roman" w:cs="Times New Roman"/>
                <w:kern w:val="0"/>
                <w:sz w:val="24"/>
                <w:szCs w:val="24"/>
                <w14:ligatures w14:val="none"/>
              </w:rPr>
              <mc:AlternateContent>
                <mc:Choice Requires="wps">
                  <w:drawing>
                    <wp:anchor distT="0" distB="0" distL="114300" distR="114300" simplePos="0" relativeHeight="251660288" behindDoc="0" locked="0" layoutInCell="1" allowOverlap="1">
                      <wp:simplePos x="0" y="0"/>
                      <wp:positionH relativeFrom="column">
                        <wp:posOffset>854075</wp:posOffset>
                      </wp:positionH>
                      <wp:positionV relativeFrom="paragraph">
                        <wp:posOffset>24130</wp:posOffset>
                      </wp:positionV>
                      <wp:extent cx="1981200" cy="0"/>
                      <wp:effectExtent l="0" t="0" r="19685" b="19050"/>
                      <wp:wrapNone/>
                      <wp:docPr id="3" name="Line 7"/>
                      <wp:cNvGraphicFramePr/>
                      <a:graphic xmlns:a="http://schemas.openxmlformats.org/drawingml/2006/main">
                        <a:graphicData uri="http://schemas.microsoft.com/office/word/2010/wordprocessingShape">
                          <wps:wsp>
                            <wps:cNvCnPr>
                              <a:cxnSpLocks noChangeShapeType="1"/>
                            </wps:cNvCnPr>
                            <wps:spPr bwMode="auto">
                              <a:xfrm>
                                <a:off x="0" y="0"/>
                                <a:ext cx="1981163" cy="0"/>
                              </a:xfrm>
                              <a:prstGeom prst="line">
                                <a:avLst/>
                              </a:prstGeom>
                              <a:noFill/>
                              <a:ln w="9525">
                                <a:solidFill>
                                  <a:srgbClr val="000000"/>
                                </a:solidFill>
                                <a:round/>
                              </a:ln>
                            </wps:spPr>
                            <wps:bodyPr/>
                          </wps:wsp>
                        </a:graphicData>
                      </a:graphic>
                    </wp:anchor>
                  </w:drawing>
                </mc:Choice>
                <mc:Fallback>
                  <w:pict>
                    <v:line id="Line 7" o:spid="_x0000_s1026" o:spt="20" style="position:absolute;left:0pt;margin-left:67.25pt;margin-top:1.9pt;height:0pt;width:156pt;z-index:251660288;mso-width-relative:page;mso-height-relative:page;" filled="f" stroked="t" coordsize="21600,21600" o:gfxdata="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ROB00wAAAAcBAAAPAAAAAAAAAAEAIAAAACIAAABkcnMvZG93bnJl&#10;di54bWxQSwECFAAUAAAACACHTuJAA9pU68kBAACfAwAADgAAAAAAAAABACAAAAAiAQAAZHJzL2Uy&#10;b0RvYy54bWxQSwUGAAAAAAYABgBZAQAAXQUAAAAA&#10;">
                      <v:fill on="f" focussize="0,0"/>
                      <v:stroke color="#000000" joinstyle="round"/>
                      <v:imagedata o:title=""/>
                      <o:lock v:ext="edit" aspectratio="f"/>
                    </v:line>
                  </w:pict>
                </mc:Fallback>
              </mc:AlternateContent>
            </w:r>
          </w:p>
        </w:tc>
      </w:tr>
      <w:tr w14:paraId="3AC372AD">
        <w:tblPrEx>
          <w:tblCellMar>
            <w:top w:w="0" w:type="dxa"/>
            <w:left w:w="108" w:type="dxa"/>
            <w:bottom w:w="0" w:type="dxa"/>
            <w:right w:w="108" w:type="dxa"/>
          </w:tblCellMar>
        </w:tblPrEx>
        <w:tc>
          <w:tcPr>
            <w:tcW w:w="3989" w:type="dxa"/>
          </w:tcPr>
          <w:p w14:paraId="59338430">
            <w:pPr>
              <w:keepNext/>
              <w:spacing w:after="0" w:line="240" w:lineRule="auto"/>
              <w:jc w:val="center"/>
              <w:outlineLvl w:val="1"/>
              <w:rPr>
                <w:rFonts w:eastAsia="Times New Roman" w:cs="Times New Roman"/>
                <w:bCs/>
                <w:kern w:val="0"/>
                <w:sz w:val="26"/>
                <w:szCs w:val="26"/>
                <w14:ligatures w14:val="none"/>
              </w:rPr>
            </w:pPr>
            <w:r>
              <w:rPr>
                <w:rFonts w:eastAsia="Times New Roman" w:cs="Times New Roman"/>
                <w:bCs/>
                <w:kern w:val="0"/>
                <w:sz w:val="26"/>
                <w:szCs w:val="26"/>
                <w14:ligatures w14:val="none"/>
              </w:rPr>
              <w:t xml:space="preserve">Số:    </w:t>
            </w:r>
            <w:r>
              <w:rPr>
                <w:rFonts w:eastAsia="Times New Roman" w:cs="Times New Roman"/>
                <w:bCs/>
                <w:kern w:val="0"/>
                <w:sz w:val="26"/>
                <w:szCs w:val="26"/>
                <w:lang w:val="vi-VN"/>
                <w14:ligatures w14:val="none"/>
              </w:rPr>
              <w:t xml:space="preserve">   </w:t>
            </w:r>
            <w:r>
              <w:rPr>
                <w:rFonts w:eastAsia="Times New Roman" w:cs="Times New Roman"/>
                <w:bCs/>
                <w:kern w:val="0"/>
                <w:sz w:val="26"/>
                <w:szCs w:val="26"/>
                <w14:ligatures w14:val="none"/>
              </w:rPr>
              <w:t xml:space="preserve">  /2026/QĐ-</w:t>
            </w:r>
            <w:r>
              <w:rPr>
                <w:rFonts w:eastAsia="Times New Roman" w:cs="Times New Roman"/>
                <w:bCs/>
                <w:kern w:val="0"/>
                <w:sz w:val="26"/>
                <w:szCs w:val="26"/>
                <w:lang w:val="vi-VN"/>
                <w14:ligatures w14:val="none"/>
              </w:rPr>
              <w:t>CT</w:t>
            </w:r>
            <w:r>
              <w:rPr>
                <w:rFonts w:eastAsia="Times New Roman" w:cs="Times New Roman"/>
                <w:bCs/>
                <w:kern w:val="0"/>
                <w:sz w:val="26"/>
                <w:szCs w:val="26"/>
                <w14:ligatures w14:val="none"/>
              </w:rPr>
              <w:t>UBND</w:t>
            </w:r>
          </w:p>
          <w:p w14:paraId="7A3271C3">
            <w:pPr>
              <w:keepNext/>
              <w:spacing w:before="120" w:after="0" w:line="240" w:lineRule="auto"/>
              <w:jc w:val="center"/>
              <w:outlineLvl w:val="1"/>
              <w:rPr>
                <w:rFonts w:eastAsia="Times New Roman" w:cs="Times New Roman"/>
                <w:b/>
                <w:kern w:val="0"/>
                <w:sz w:val="26"/>
                <w:szCs w:val="26"/>
                <w14:ligatures w14:val="none"/>
              </w:rPr>
            </w:pPr>
            <w:r>
              <w:rPr>
                <w:rFonts w:eastAsia="Times New Roman" w:cs="Times New Roman"/>
                <w:b/>
                <w:bCs/>
                <w:kern w:val="0"/>
                <w:sz w:val="26"/>
                <w:szCs w:val="26"/>
                <w:bdr w:val="single" w:color="auto" w:sz="4" w:space="0"/>
                <w:lang w:val="vi-VN"/>
                <w14:ligatures w14:val="none"/>
              </w:rPr>
              <w:t>DỰ THẢO</w:t>
            </w:r>
          </w:p>
        </w:tc>
        <w:tc>
          <w:tcPr>
            <w:tcW w:w="5935" w:type="dxa"/>
          </w:tcPr>
          <w:p w14:paraId="7C433E8C">
            <w:pPr>
              <w:keepNext/>
              <w:spacing w:after="0" w:line="240" w:lineRule="auto"/>
              <w:jc w:val="center"/>
              <w:outlineLvl w:val="1"/>
              <w:rPr>
                <w:rFonts w:eastAsia="Times New Roman" w:cs="Times New Roman"/>
                <w:b/>
                <w:bCs/>
                <w:kern w:val="0"/>
                <w:sz w:val="26"/>
                <w:szCs w:val="26"/>
                <w14:ligatures w14:val="none"/>
              </w:rPr>
            </w:pPr>
            <w:r>
              <w:rPr>
                <w:rFonts w:eastAsia="Times New Roman" w:cs="Times New Roman"/>
                <w:bCs/>
                <w:i/>
                <w:kern w:val="0"/>
                <w:szCs w:val="28"/>
                <w14:ligatures w14:val="none"/>
              </w:rPr>
              <w:t xml:space="preserve">    </w:t>
            </w:r>
            <w:r>
              <w:rPr>
                <w:rFonts w:eastAsia="Times New Roman" w:cs="Times New Roman"/>
                <w:bCs/>
                <w:i/>
                <w:kern w:val="0"/>
                <w:sz w:val="26"/>
                <w:szCs w:val="26"/>
                <w:lang w:val="vi-VN"/>
                <w14:ligatures w14:val="none"/>
              </w:rPr>
              <w:t>Hà Tĩnh</w:t>
            </w:r>
            <w:r>
              <w:rPr>
                <w:rFonts w:eastAsia="Times New Roman" w:cs="Times New Roman"/>
                <w:bCs/>
                <w:i/>
                <w:kern w:val="0"/>
                <w:sz w:val="26"/>
                <w:szCs w:val="26"/>
                <w14:ligatures w14:val="none"/>
              </w:rPr>
              <w:t>, ngày     tháng     năm 2026</w:t>
            </w:r>
          </w:p>
        </w:tc>
      </w:tr>
    </w:tbl>
    <w:p w14:paraId="77132D63">
      <w:pPr>
        <w:spacing w:after="0" w:line="240" w:lineRule="auto"/>
        <w:jc w:val="center"/>
        <w:rPr>
          <w:rFonts w:eastAsia="Times New Roman" w:cs="Times New Roman"/>
          <w:b/>
          <w:bCs/>
          <w:kern w:val="0"/>
          <w:szCs w:val="28"/>
          <w14:ligatures w14:val="none"/>
        </w:rPr>
      </w:pPr>
    </w:p>
    <w:p w14:paraId="35C1274D">
      <w:pPr>
        <w:spacing w:before="240" w:after="0" w:line="240" w:lineRule="auto"/>
        <w:jc w:val="center"/>
        <w:rPr>
          <w:rFonts w:eastAsia="Times New Roman" w:cs="Times New Roman"/>
          <w:kern w:val="0"/>
          <w:szCs w:val="28"/>
          <w14:ligatures w14:val="none"/>
        </w:rPr>
      </w:pPr>
      <w:r>
        <w:rPr>
          <w:rFonts w:eastAsia="Times New Roman" w:cs="Times New Roman"/>
          <w:b/>
          <w:bCs/>
          <w:kern w:val="0"/>
          <w:szCs w:val="28"/>
          <w14:ligatures w14:val="none"/>
        </w:rPr>
        <w:t>QUYẾT ĐỊNH</w:t>
      </w:r>
    </w:p>
    <w:p w14:paraId="3B937335">
      <w:pPr>
        <w:keepNext/>
        <w:tabs>
          <w:tab w:val="left" w:pos="5049"/>
        </w:tabs>
        <w:spacing w:before="120" w:after="0" w:line="240" w:lineRule="auto"/>
        <w:jc w:val="center"/>
        <w:outlineLvl w:val="3"/>
        <w:rPr>
          <w:rFonts w:cs="Times New Roman"/>
          <w:b/>
          <w:bCs/>
          <w:szCs w:val="28"/>
          <w:lang w:val="vi-VN" w:eastAsia="vi-VN" w:bidi="vi-VN"/>
        </w:rPr>
      </w:pPr>
      <w:r>
        <w:rPr>
          <w:rFonts w:cs="Times New Roman"/>
          <w:b/>
          <w:bCs/>
          <w:szCs w:val="28"/>
          <w:lang w:eastAsia="vi-VN" w:bidi="vi-VN"/>
        </w:rPr>
        <w:t>Phân cấp</w:t>
      </w:r>
      <w:r>
        <w:rPr>
          <w:rFonts w:cs="Times New Roman"/>
          <w:b/>
          <w:bCs/>
          <w:szCs w:val="28"/>
          <w:lang w:val="vi-VN" w:eastAsia="vi-VN" w:bidi="vi-VN"/>
        </w:rPr>
        <w:t xml:space="preserve"> một số nội dung thuộc thẩm quyền của Chủ tịch Ủy ban</w:t>
      </w:r>
    </w:p>
    <w:p w14:paraId="6F469827">
      <w:pPr>
        <w:keepNext/>
        <w:tabs>
          <w:tab w:val="left" w:pos="5049"/>
        </w:tabs>
        <w:spacing w:after="0" w:line="240" w:lineRule="auto"/>
        <w:jc w:val="center"/>
        <w:outlineLvl w:val="3"/>
        <w:rPr>
          <w:rFonts w:cs="Times New Roman"/>
          <w:b/>
          <w:bCs/>
          <w:szCs w:val="28"/>
          <w:lang w:eastAsia="vi-VN" w:bidi="vi-VN"/>
        </w:rPr>
      </w:pPr>
      <w:r>
        <w:rPr>
          <w:rFonts w:cs="Times New Roman"/>
          <w:b/>
          <w:bCs/>
          <w:szCs w:val="28"/>
          <w:lang w:val="vi-VN" w:eastAsia="vi-VN" w:bidi="vi-VN"/>
        </w:rPr>
        <w:t>nhân dân tỉnh Hà Tĩnh về</w:t>
      </w:r>
      <w:r>
        <w:rPr>
          <w:rFonts w:cs="Times New Roman"/>
          <w:b/>
          <w:bCs/>
          <w:szCs w:val="28"/>
          <w:lang w:eastAsia="vi-VN" w:bidi="vi-VN"/>
        </w:rPr>
        <w:t xml:space="preserve"> quản lý cán bộ, công chức,</w:t>
      </w:r>
      <w:r>
        <w:rPr>
          <w:rFonts w:cs="Times New Roman"/>
          <w:b/>
          <w:bCs/>
          <w:szCs w:val="28"/>
          <w:lang w:val="vi-VN" w:eastAsia="vi-VN" w:bidi="vi-VN"/>
        </w:rPr>
        <w:t xml:space="preserve"> </w:t>
      </w:r>
      <w:r>
        <w:rPr>
          <w:rFonts w:cs="Times New Roman"/>
          <w:b/>
          <w:bCs/>
          <w:szCs w:val="28"/>
          <w:lang w:eastAsia="vi-VN" w:bidi="vi-VN"/>
        </w:rPr>
        <w:t xml:space="preserve">viên chức </w:t>
      </w:r>
    </w:p>
    <w:p w14:paraId="367DADEF">
      <w:pPr>
        <w:tabs>
          <w:tab w:val="center" w:pos="4649"/>
          <w:tab w:val="left" w:pos="5631"/>
        </w:tabs>
        <w:spacing w:after="0" w:line="240" w:lineRule="auto"/>
        <w:jc w:val="center"/>
        <w:rPr>
          <w:rFonts w:eastAsia="Times New Roman" w:cs="Times New Roman"/>
          <w:kern w:val="0"/>
          <w:szCs w:val="28"/>
          <w14:ligatures w14:val="none"/>
        </w:rPr>
      </w:pPr>
      <w:r>
        <w:rPr>
          <w:rFonts w:eastAsia="Times New Roman" w:cs="Times New Roman"/>
          <w:kern w:val="0"/>
          <w:szCs w:val="28"/>
          <w14:ligatures w14:val="none"/>
        </w:rPr>
        <mc:AlternateContent>
          <mc:Choice Requires="wps">
            <w:drawing>
              <wp:anchor distT="0" distB="0" distL="114300" distR="114300" simplePos="0" relativeHeight="251661312" behindDoc="0" locked="0" layoutInCell="1" allowOverlap="1">
                <wp:simplePos x="0" y="0"/>
                <wp:positionH relativeFrom="column">
                  <wp:posOffset>2131060</wp:posOffset>
                </wp:positionH>
                <wp:positionV relativeFrom="paragraph">
                  <wp:posOffset>22225</wp:posOffset>
                </wp:positionV>
                <wp:extent cx="1656715" cy="0"/>
                <wp:effectExtent l="0" t="0" r="20320" b="19050"/>
                <wp:wrapNone/>
                <wp:docPr id="4" name="Straight Connector 4"/>
                <wp:cNvGraphicFramePr/>
                <a:graphic xmlns:a="http://schemas.openxmlformats.org/drawingml/2006/main">
                  <a:graphicData uri="http://schemas.microsoft.com/office/word/2010/wordprocessingShape">
                    <wps:wsp>
                      <wps:cNvCnPr/>
                      <wps:spPr>
                        <a:xfrm>
                          <a:off x="0" y="0"/>
                          <a:ext cx="1656696" cy="0"/>
                        </a:xfrm>
                        <a:prstGeom prst="line">
                          <a:avLst/>
                        </a:prstGeom>
                        <a:noFill/>
                        <a:ln w="9525" cap="flat" cmpd="sng" algn="ctr">
                          <a:solidFill>
                            <a:sysClr val="windowText" lastClr="000000"/>
                          </a:solidFill>
                          <a:prstDash val="solid"/>
                        </a:ln>
                        <a:effectLst/>
                      </wps:spPr>
                      <wps:bodyPr/>
                    </wps:wsp>
                  </a:graphicData>
                </a:graphic>
              </wp:anchor>
            </w:drawing>
          </mc:Choice>
          <mc:Fallback>
            <w:pict>
              <v:line id="_x0000_s1026" o:spid="_x0000_s1026" o:spt="20" style="position:absolute;left:0pt;margin-left:167.8pt;margin-top:1.75pt;height:0pt;width:130.45pt;z-index:251661312;mso-width-relative:page;mso-height-relative:page;" filled="f" stroked="t" coordsize="21600,21600" o:gfxdata="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NsiNUTTAAAABwEAAA8AAAAAAAAAAQAg&#10;AAAAIgAAAGRycy9kb3ducmV2LnhtbFBLAQIUABQAAAAIAIdO4kDTAR4M2gEAAL8DAAAOAAAAAAAA&#10;AAEAIAAAACIBAABkcnMvZTJvRG9jLnhtbFBLBQYAAAAABgAGAFkBAABuBQAAAAA=&#10;">
                <v:fill on="f" focussize="0,0"/>
                <v:stroke color="#000000" joinstyle="round"/>
                <v:imagedata o:title=""/>
                <o:lock v:ext="edit" aspectratio="f"/>
              </v:line>
            </w:pict>
          </mc:Fallback>
        </mc:AlternateContent>
      </w:r>
    </w:p>
    <w:p w14:paraId="0E86688B">
      <w:pPr>
        <w:pStyle w:val="5"/>
        <w:shd w:val="clear" w:color="auto" w:fill="auto"/>
        <w:spacing w:before="120" w:line="276" w:lineRule="auto"/>
        <w:ind w:firstLine="624"/>
        <w:jc w:val="both"/>
        <w:rPr>
          <w:lang w:eastAsia="vi-VN" w:bidi="vi-VN"/>
        </w:rPr>
      </w:pPr>
      <w:r>
        <w:rPr>
          <w:lang w:val="vi-VN" w:eastAsia="vi-VN" w:bidi="vi-VN"/>
        </w:rPr>
        <w:t>Căn cứ</w:t>
      </w:r>
      <w:r>
        <w:rPr>
          <w:lang w:eastAsia="vi-VN" w:bidi="vi-VN"/>
        </w:rPr>
        <w:t xml:space="preserve"> Luật Tổ chức chính quyền địa phương</w:t>
      </w:r>
      <w:r>
        <w:rPr>
          <w:lang w:val="vi-VN" w:eastAsia="vi-VN" w:bidi="vi-VN"/>
        </w:rPr>
        <w:t xml:space="preserve"> số 72/2025/QH15</w:t>
      </w:r>
      <w:r>
        <w:rPr>
          <w:lang w:eastAsia="vi-VN" w:bidi="vi-VN"/>
        </w:rPr>
        <w:t>;</w:t>
      </w:r>
    </w:p>
    <w:p w14:paraId="5565513F">
      <w:pPr>
        <w:pStyle w:val="5"/>
        <w:shd w:val="clear" w:color="auto" w:fill="auto"/>
        <w:spacing w:before="120" w:line="276" w:lineRule="auto"/>
        <w:ind w:firstLine="624"/>
        <w:jc w:val="both"/>
        <w:rPr>
          <w:lang w:eastAsia="vi-VN" w:bidi="vi-VN"/>
        </w:rPr>
      </w:pPr>
      <w:r>
        <w:rPr>
          <w:lang w:eastAsia="vi-VN" w:bidi="vi-VN"/>
        </w:rPr>
        <w:t xml:space="preserve">Căn cứ Luật Cán bộ, công chức </w:t>
      </w:r>
      <w:r>
        <w:rPr>
          <w:lang w:val="vi-VN" w:eastAsia="vi-VN" w:bidi="vi-VN"/>
        </w:rPr>
        <w:t>số 80/2025/QH15</w:t>
      </w:r>
      <w:r>
        <w:rPr>
          <w:lang w:eastAsia="vi-VN" w:bidi="vi-VN"/>
        </w:rPr>
        <w:t>;</w:t>
      </w:r>
    </w:p>
    <w:p w14:paraId="537793E3">
      <w:pPr>
        <w:pStyle w:val="5"/>
        <w:shd w:val="clear" w:color="auto" w:fill="auto"/>
        <w:spacing w:before="120" w:line="276" w:lineRule="auto"/>
        <w:ind w:firstLine="624"/>
        <w:jc w:val="both"/>
        <w:rPr>
          <w:color w:val="081B3A"/>
          <w:spacing w:val="3"/>
          <w:shd w:val="clear" w:color="auto" w:fill="FFFFFF"/>
          <w:lang w:val="vi-VN"/>
        </w:rPr>
      </w:pPr>
      <w:r>
        <w:rPr>
          <w:color w:val="081B3A"/>
          <w:spacing w:val="3"/>
          <w:shd w:val="clear" w:color="auto" w:fill="FFFFFF"/>
          <w:lang w:val="vi-VN"/>
        </w:rPr>
        <w:t xml:space="preserve">Căn cứ </w:t>
      </w:r>
      <w:r>
        <w:rPr>
          <w:color w:val="081B3A"/>
          <w:spacing w:val="3"/>
          <w:shd w:val="clear" w:color="auto" w:fill="FFFFFF"/>
        </w:rPr>
        <w:t xml:space="preserve">Luật Viên chức số </w:t>
      </w:r>
      <w:r>
        <w:rPr>
          <w:color w:val="081B3A"/>
          <w:spacing w:val="3"/>
          <w:shd w:val="clear" w:color="auto" w:fill="FFFFFF"/>
          <w:lang w:val="vi-VN"/>
        </w:rPr>
        <w:t>129/2025/QH15;</w:t>
      </w:r>
    </w:p>
    <w:p w14:paraId="08DF3486">
      <w:pPr>
        <w:pStyle w:val="5"/>
        <w:shd w:val="clear" w:color="auto" w:fill="auto"/>
        <w:spacing w:before="120" w:line="276" w:lineRule="auto"/>
        <w:ind w:firstLine="624"/>
        <w:jc w:val="both"/>
        <w:rPr>
          <w:i w:val="0"/>
          <w:iCs w:val="0"/>
          <w:color w:val="000000"/>
          <w:sz w:val="18"/>
          <w:szCs w:val="18"/>
          <w:shd w:val="clear" w:color="auto" w:fill="FFFFFF"/>
          <w:lang w:val="vi-VN"/>
        </w:rPr>
      </w:pPr>
      <w:r>
        <w:rPr>
          <w:lang w:val="vi-VN" w:eastAsia="vi-VN" w:bidi="vi-VN"/>
        </w:rPr>
        <w:t xml:space="preserve">Căn cứ </w:t>
      </w:r>
      <w:r>
        <w:rPr>
          <w:lang w:eastAsia="vi-VN" w:bidi="vi-VN"/>
        </w:rPr>
        <w:t xml:space="preserve">Luật Ban hành văn bản quy phạm pháp luật </w:t>
      </w:r>
      <w:r>
        <w:rPr>
          <w:lang w:val="vi-VN" w:eastAsia="vi-VN" w:bidi="vi-VN"/>
        </w:rPr>
        <w:t>số 64/2025/QH15 được</w:t>
      </w:r>
      <w:r>
        <w:rPr>
          <w:lang w:eastAsia="vi-VN" w:bidi="vi-VN"/>
        </w:rPr>
        <w:t xml:space="preserve"> sửa đổi, bổ sung </w:t>
      </w:r>
      <w:r>
        <w:rPr>
          <w:iCs w:val="0"/>
          <w:color w:val="000000"/>
          <w:shd w:val="clear" w:color="auto" w:fill="FFFFFF"/>
          <w:lang w:val="vi-VN"/>
        </w:rPr>
        <w:t>bởi Luật số 87/2025/QH15;</w:t>
      </w:r>
    </w:p>
    <w:p w14:paraId="4563FEDA">
      <w:pPr>
        <w:pStyle w:val="5"/>
        <w:shd w:val="clear" w:color="auto" w:fill="auto"/>
        <w:spacing w:before="120" w:line="276" w:lineRule="auto"/>
        <w:ind w:firstLine="624"/>
        <w:jc w:val="both"/>
      </w:pPr>
      <w:r>
        <w:t>Căn cứ Nghị định</w:t>
      </w:r>
      <w:r>
        <w:rPr>
          <w:lang w:val="vi-VN"/>
        </w:rPr>
        <w:t xml:space="preserve"> </w:t>
      </w:r>
      <w:r>
        <w:t xml:space="preserve">số 78/2025/NĐ-CP </w:t>
      </w:r>
      <w:r>
        <w:rPr>
          <w:lang w:val="vi-VN"/>
        </w:rPr>
        <w:t>của Chính phủ</w:t>
      </w:r>
      <w:r>
        <w:t xml:space="preserve"> quy định chi tiết một số điều và biện pháp để tổ chức, hướng dẫn thi hành Luật Ban hành văn bản quy phạm pháp luật được sửa đổi, bổ sung bởi Nghị định số 187/2025/NĐ-CP;</w:t>
      </w:r>
    </w:p>
    <w:p w14:paraId="087A679E">
      <w:pPr>
        <w:pStyle w:val="5"/>
        <w:shd w:val="clear" w:color="auto" w:fill="auto"/>
        <w:spacing w:before="120" w:line="276" w:lineRule="auto"/>
        <w:ind w:firstLine="624"/>
        <w:jc w:val="both"/>
        <w:rPr>
          <w:lang w:val="vi-VN" w:eastAsia="vi-VN" w:bidi="vi-VN"/>
        </w:rPr>
      </w:pPr>
      <w:r>
        <w:rPr>
          <w:lang w:val="vi-VN"/>
        </w:rPr>
        <w:t>Căn cứ Nghị định</w:t>
      </w:r>
      <w:r>
        <w:t xml:space="preserve"> số 170/2025/NĐ-CP </w:t>
      </w:r>
      <w:r>
        <w:rPr>
          <w:lang w:val="vi-VN"/>
        </w:rPr>
        <w:t xml:space="preserve">của Chính phủ </w:t>
      </w:r>
      <w:r>
        <w:t>quy định về tuyển dụng, sử dụng và quản lý công chức</w:t>
      </w:r>
      <w:r>
        <w:rPr>
          <w:lang w:eastAsia="vi-VN" w:bidi="vi-VN"/>
        </w:rPr>
        <w:t xml:space="preserve"> được sửa đổi, bổ sung bởi Nghị định số 300/2026/NĐ-CP</w:t>
      </w:r>
      <w:r>
        <w:rPr>
          <w:lang w:val="vi-VN" w:eastAsia="vi-VN" w:bidi="vi-VN"/>
        </w:rPr>
        <w:t>;</w:t>
      </w:r>
    </w:p>
    <w:p w14:paraId="75EEA6E8">
      <w:pPr>
        <w:pStyle w:val="5"/>
        <w:shd w:val="clear" w:color="auto" w:fill="auto"/>
        <w:spacing w:before="120" w:line="276" w:lineRule="auto"/>
        <w:ind w:firstLine="624"/>
        <w:jc w:val="both"/>
        <w:rPr>
          <w:lang w:val="vi-VN" w:eastAsia="vi-VN" w:bidi="vi-VN"/>
        </w:rPr>
      </w:pPr>
      <w:r>
        <w:rPr>
          <w:lang w:val="vi-VN" w:eastAsia="vi-VN" w:bidi="vi-VN"/>
        </w:rPr>
        <w:t xml:space="preserve">Căn cứ Nghị định </w:t>
      </w:r>
      <w:r>
        <w:rPr>
          <w:lang w:eastAsia="vi-VN" w:bidi="vi-VN"/>
        </w:rPr>
        <w:t>số 259/2026/NĐ-CP</w:t>
      </w:r>
      <w:r>
        <w:rPr>
          <w:lang w:val="vi-VN" w:eastAsia="vi-VN" w:bidi="vi-VN"/>
        </w:rPr>
        <w:t xml:space="preserve"> của Chính phủ</w:t>
      </w:r>
      <w:r>
        <w:rPr>
          <w:lang w:eastAsia="vi-VN" w:bidi="vi-VN"/>
        </w:rPr>
        <w:t xml:space="preserve"> quy định về tuyển dụng, sử dụng và quản lý viên chức</w:t>
      </w:r>
      <w:r>
        <w:rPr>
          <w:lang w:val="vi-VN" w:eastAsia="vi-VN" w:bidi="vi-VN"/>
        </w:rPr>
        <w:t>;</w:t>
      </w:r>
    </w:p>
    <w:p w14:paraId="4DBC8878">
      <w:pPr>
        <w:pStyle w:val="5"/>
        <w:shd w:val="clear" w:color="auto" w:fill="auto"/>
        <w:spacing w:before="120" w:line="276" w:lineRule="auto"/>
        <w:ind w:firstLine="624"/>
        <w:jc w:val="both"/>
        <w:rPr>
          <w:lang w:val="vi-VN"/>
        </w:rPr>
      </w:pPr>
      <w:r>
        <w:rPr>
          <w:lang w:val="vi-VN" w:eastAsia="vi-VN" w:bidi="vi-VN"/>
        </w:rPr>
        <w:t xml:space="preserve">Căn cứ </w:t>
      </w:r>
      <w:r>
        <w:rPr>
          <w:color w:val="000000"/>
          <w:spacing w:val="2"/>
          <w:shd w:val="clear" w:color="auto" w:fill="FFFFFF"/>
        </w:rPr>
        <w:t xml:space="preserve">Nghị định </w:t>
      </w:r>
      <w:r>
        <w:rPr>
          <w:color w:val="000000"/>
          <w:spacing w:val="2"/>
          <w:shd w:val="clear" w:color="auto" w:fill="FFFFFF"/>
          <w:lang w:val="vi-VN"/>
        </w:rPr>
        <w:t xml:space="preserve">số </w:t>
      </w:r>
      <w:r>
        <w:rPr>
          <w:color w:val="000000"/>
          <w:spacing w:val="2"/>
          <w:shd w:val="clear" w:color="auto" w:fill="FFFFFF"/>
        </w:rPr>
        <w:t>172/2025/NĐ-CP</w:t>
      </w:r>
      <w:r>
        <w:rPr>
          <w:color w:val="000000"/>
          <w:spacing w:val="2"/>
          <w:shd w:val="clear" w:color="auto" w:fill="FFFFFF"/>
          <w:lang w:val="vi-VN"/>
        </w:rPr>
        <w:t xml:space="preserve"> của Chính phủ về xử lý kỷ luật cán bộ, công chức được sửa đổi, bổ sung bởi Nghị định số 251/2025/NĐ-CP;</w:t>
      </w:r>
    </w:p>
    <w:p w14:paraId="11A4A5D6">
      <w:pPr>
        <w:spacing w:before="120" w:after="0"/>
        <w:rPr>
          <w:rFonts w:cs="Times New Roman"/>
          <w:i/>
          <w:lang w:val="vi-VN" w:eastAsia="vi-VN" w:bidi="vi-VN"/>
        </w:rPr>
      </w:pPr>
      <w:r>
        <w:rPr>
          <w:rFonts w:cs="Times New Roman"/>
          <w:i/>
          <w:lang w:val="vi-VN" w:eastAsia="vi-VN" w:bidi="vi-VN"/>
        </w:rPr>
        <w:tab/>
      </w:r>
      <w:r>
        <w:rPr>
          <w:rFonts w:cs="Times New Roman"/>
          <w:i/>
          <w:lang w:val="vi-VN" w:eastAsia="vi-VN" w:bidi="vi-VN"/>
        </w:rPr>
        <w:t xml:space="preserve">Theo đề nghị của </w:t>
      </w:r>
      <w:r>
        <w:rPr>
          <w:rFonts w:cs="Times New Roman"/>
          <w:i/>
          <w:lang w:eastAsia="vi-VN" w:bidi="vi-VN"/>
        </w:rPr>
        <w:t>Giám đốc Sở Nội vụ tại Tờ trình số   /TTr-SNV</w:t>
      </w:r>
      <w:r>
        <w:rPr>
          <w:rFonts w:cs="Times New Roman"/>
          <w:i/>
          <w:lang w:val="vi-VN" w:eastAsia="vi-VN" w:bidi="vi-VN"/>
        </w:rPr>
        <w:t xml:space="preserve"> ngày    /   tháng   năm 2026 và ý kiến thẩm định của Sở Tư pháp tại Báo cáo số     /BC-STP ngày    tháng    năm 2026;</w:t>
      </w:r>
    </w:p>
    <w:p w14:paraId="747AADD3">
      <w:pPr>
        <w:keepNext/>
        <w:tabs>
          <w:tab w:val="left" w:pos="5049"/>
        </w:tabs>
        <w:spacing w:before="120" w:after="0" w:line="240" w:lineRule="auto"/>
        <w:ind w:firstLine="720"/>
        <w:outlineLvl w:val="3"/>
        <w:rPr>
          <w:rFonts w:eastAsia="Times New Roman" w:cs="Times New Roman"/>
          <w:i/>
          <w:spacing w:val="-2"/>
          <w:kern w:val="0"/>
          <w:szCs w:val="28"/>
          <w14:ligatures w14:val="none"/>
        </w:rPr>
      </w:pPr>
      <w:r>
        <w:rPr>
          <w:rFonts w:eastAsia="Times New Roman" w:cs="Times New Roman"/>
          <w:i/>
          <w:iCs/>
          <w:spacing w:val="-2"/>
          <w:kern w:val="0"/>
          <w:szCs w:val="28"/>
          <w:lang w:val="vi-VN"/>
          <w14:ligatures w14:val="none"/>
        </w:rPr>
        <w:t xml:space="preserve">Chủ tịch Ủy ban nhân dân tỉnh ban hành Quyết định phân cấp một số nội dung thuộc thẩm quyền của Chủ tịch Ủy ban nhân dân tỉnh Hà Tĩnh về </w:t>
      </w:r>
      <w:r>
        <w:rPr>
          <w:rFonts w:cs="Times New Roman"/>
          <w:bCs/>
          <w:i/>
          <w:szCs w:val="28"/>
          <w:lang w:eastAsia="vi-VN" w:bidi="vi-VN"/>
        </w:rPr>
        <w:t>quản lý cán bộ, công chức,</w:t>
      </w:r>
      <w:r>
        <w:rPr>
          <w:rFonts w:cs="Times New Roman"/>
          <w:bCs/>
          <w:i/>
          <w:szCs w:val="28"/>
          <w:lang w:val="vi-VN" w:eastAsia="vi-VN" w:bidi="vi-VN"/>
        </w:rPr>
        <w:t xml:space="preserve"> </w:t>
      </w:r>
      <w:r>
        <w:rPr>
          <w:rFonts w:cs="Times New Roman"/>
          <w:bCs/>
          <w:i/>
          <w:szCs w:val="28"/>
          <w:lang w:eastAsia="vi-VN" w:bidi="vi-VN"/>
        </w:rPr>
        <w:t>viên chức</w:t>
      </w:r>
      <w:r>
        <w:rPr>
          <w:rFonts w:eastAsia="Times New Roman" w:cs="Times New Roman"/>
          <w:i/>
          <w:spacing w:val="-2"/>
          <w:kern w:val="0"/>
          <w:szCs w:val="28"/>
          <w:lang w:val="vi-VN"/>
          <w14:ligatures w14:val="none"/>
        </w:rPr>
        <w:t>.</w:t>
      </w:r>
    </w:p>
    <w:p w14:paraId="216B6281">
      <w:pPr>
        <w:keepNext/>
        <w:tabs>
          <w:tab w:val="left" w:pos="5049"/>
        </w:tabs>
        <w:spacing w:after="0" w:line="240" w:lineRule="auto"/>
        <w:jc w:val="center"/>
        <w:outlineLvl w:val="3"/>
        <w:rPr>
          <w:rFonts w:cs="Times New Roman"/>
          <w:b/>
          <w:bCs/>
          <w:szCs w:val="28"/>
          <w:lang w:val="vi-VN" w:eastAsia="vi-VN" w:bidi="vi-VN"/>
        </w:rPr>
      </w:pPr>
    </w:p>
    <w:p w14:paraId="2FAEA33D">
      <w:pPr>
        <w:spacing w:after="120" w:line="276" w:lineRule="auto"/>
        <w:ind w:firstLine="624"/>
        <w:rPr>
          <w:rFonts w:cs="Times New Roman"/>
        </w:rPr>
      </w:pPr>
      <w:bookmarkStart w:id="0" w:name="dieu_1"/>
      <w:bookmarkStart w:id="1" w:name="_Hlk212649074"/>
      <w:r>
        <w:rPr>
          <w:rFonts w:cs="Times New Roman"/>
          <w:b/>
          <w:bCs/>
        </w:rPr>
        <w:t>Điều 1. Phạm vi điều chỉnh</w:t>
      </w:r>
      <w:bookmarkEnd w:id="0"/>
    </w:p>
    <w:p w14:paraId="59B933B9">
      <w:pPr>
        <w:spacing w:after="120" w:line="276" w:lineRule="auto"/>
        <w:ind w:firstLine="624"/>
        <w:rPr>
          <w:rFonts w:cs="Times New Roman"/>
        </w:rPr>
      </w:pPr>
      <w:r>
        <w:rPr>
          <w:rFonts w:cs="Times New Roman"/>
        </w:rPr>
        <w:t xml:space="preserve">Quyết định này phân cấp </w:t>
      </w:r>
      <w:r>
        <w:rPr>
          <w:rFonts w:cs="Times New Roman"/>
          <w:lang w:val="vi-VN"/>
        </w:rPr>
        <w:t xml:space="preserve">một số nội dung thuộc thẩm quyền </w:t>
      </w:r>
      <w:r>
        <w:rPr>
          <w:rFonts w:cs="Times New Roman"/>
          <w:bCs/>
          <w:szCs w:val="28"/>
          <w:lang w:val="vi-VN" w:eastAsia="vi-VN" w:bidi="vi-VN"/>
        </w:rPr>
        <w:t>của Chủ tịch Ủy ban nhân dân tỉnh Hà Tĩnh</w:t>
      </w:r>
      <w:r>
        <w:rPr>
          <w:rFonts w:cs="Times New Roman"/>
          <w:bCs/>
          <w:szCs w:val="28"/>
          <w:lang w:eastAsia="vi-VN" w:bidi="vi-VN"/>
        </w:rPr>
        <w:t xml:space="preserve"> </w:t>
      </w:r>
      <w:r>
        <w:rPr>
          <w:rFonts w:cs="Times New Roman"/>
          <w:bCs/>
          <w:szCs w:val="28"/>
          <w:lang w:val="vi-VN" w:eastAsia="vi-VN" w:bidi="vi-VN"/>
        </w:rPr>
        <w:t xml:space="preserve">về </w:t>
      </w:r>
      <w:r>
        <w:rPr>
          <w:rFonts w:cs="Times New Roman"/>
          <w:bCs/>
          <w:szCs w:val="28"/>
          <w:lang w:eastAsia="vi-VN" w:bidi="vi-VN"/>
        </w:rPr>
        <w:t>quản lý cán bộ, công chức,</w:t>
      </w:r>
      <w:r>
        <w:rPr>
          <w:rFonts w:cs="Times New Roman"/>
          <w:bCs/>
          <w:szCs w:val="28"/>
          <w:lang w:val="vi-VN" w:eastAsia="vi-VN" w:bidi="vi-VN"/>
        </w:rPr>
        <w:t xml:space="preserve"> </w:t>
      </w:r>
      <w:r>
        <w:rPr>
          <w:rFonts w:cs="Times New Roman"/>
          <w:bCs/>
          <w:szCs w:val="28"/>
          <w:lang w:eastAsia="vi-VN" w:bidi="vi-VN"/>
        </w:rPr>
        <w:t>viên chức</w:t>
      </w:r>
      <w:r>
        <w:rPr>
          <w:rFonts w:cs="Times New Roman"/>
          <w:bCs/>
          <w:szCs w:val="28"/>
          <w:lang w:val="vi-VN" w:eastAsia="vi-VN" w:bidi="vi-VN"/>
        </w:rPr>
        <w:t xml:space="preserve"> cho các cơ quan chuyên môn, tổ chức hành chính khác thuộc Ủy ban nhân dân tỉnh và Chủ tịch Ủy ban nhân dân cấp xã.</w:t>
      </w:r>
    </w:p>
    <w:p w14:paraId="310234DF">
      <w:pPr>
        <w:spacing w:after="120" w:line="276" w:lineRule="auto"/>
        <w:ind w:firstLine="624"/>
        <w:rPr>
          <w:rFonts w:cs="Times New Roman"/>
        </w:rPr>
      </w:pPr>
      <w:bookmarkStart w:id="2" w:name="dieu_2"/>
      <w:r>
        <w:rPr>
          <w:rFonts w:cs="Times New Roman"/>
          <w:b/>
          <w:bCs/>
        </w:rPr>
        <w:t>Điều 2. Đối tượng áp dụng</w:t>
      </w:r>
      <w:bookmarkEnd w:id="2"/>
    </w:p>
    <w:p w14:paraId="3CB321BC">
      <w:pPr>
        <w:shd w:val="clear" w:color="auto" w:fill="FFFFFF"/>
        <w:spacing w:after="120" w:line="276" w:lineRule="auto"/>
        <w:ind w:firstLine="624"/>
        <w:rPr>
          <w:rFonts w:cs="Times New Roman"/>
        </w:rPr>
      </w:pPr>
      <w:r>
        <w:rPr>
          <w:rFonts w:cs="Times New Roman"/>
          <w:lang w:val="vi-VN"/>
        </w:rPr>
        <w:t>1. C</w:t>
      </w:r>
      <w:r>
        <w:rPr>
          <w:rFonts w:cs="Times New Roman"/>
        </w:rPr>
        <w:t xml:space="preserve">ơ quan chuyên môn và tổ chức hành chính </w:t>
      </w:r>
      <w:r>
        <w:rPr>
          <w:rFonts w:cs="Times New Roman"/>
          <w:lang w:val="vi-VN"/>
        </w:rPr>
        <w:t xml:space="preserve">khác </w:t>
      </w:r>
      <w:r>
        <w:rPr>
          <w:rFonts w:cs="Times New Roman"/>
        </w:rPr>
        <w:t xml:space="preserve">thuộc </w:t>
      </w:r>
      <w:r>
        <w:rPr>
          <w:rFonts w:cs="Times New Roman"/>
          <w:lang w:val="vi-VN"/>
        </w:rPr>
        <w:t>Ủy ban nhân dân</w:t>
      </w:r>
      <w:r>
        <w:rPr>
          <w:rFonts w:cs="Times New Roman"/>
        </w:rPr>
        <w:t xml:space="preserve"> tỉnh. </w:t>
      </w:r>
    </w:p>
    <w:p w14:paraId="3F21F127">
      <w:pPr>
        <w:shd w:val="clear" w:color="auto" w:fill="FFFFFF"/>
        <w:spacing w:after="120" w:line="276" w:lineRule="auto"/>
        <w:ind w:firstLine="624"/>
        <w:rPr>
          <w:rFonts w:cs="Times New Roman"/>
        </w:rPr>
      </w:pPr>
      <w:r>
        <w:rPr>
          <w:rFonts w:cs="Times New Roman"/>
        </w:rPr>
        <w:t xml:space="preserve">2. </w:t>
      </w:r>
      <w:r>
        <w:rPr>
          <w:rFonts w:cs="Times New Roman"/>
          <w:lang w:val="vi-VN"/>
        </w:rPr>
        <w:t>Ủy ban nhân dân các xã, phường</w:t>
      </w:r>
      <w:r>
        <w:rPr>
          <w:rFonts w:cs="Times New Roman"/>
        </w:rPr>
        <w:t xml:space="preserve"> (sau đây gọi chung là </w:t>
      </w:r>
      <w:r>
        <w:rPr>
          <w:rFonts w:cs="Times New Roman"/>
          <w:lang w:val="vi-VN"/>
        </w:rPr>
        <w:t>Ủy ban nhân dân</w:t>
      </w:r>
      <w:r>
        <w:rPr>
          <w:rFonts w:cs="Times New Roman"/>
        </w:rPr>
        <w:t xml:space="preserve"> cấp xã)</w:t>
      </w:r>
      <w:r>
        <w:rPr>
          <w:rFonts w:cs="Times New Roman"/>
          <w:lang w:val="vi-VN"/>
        </w:rPr>
        <w:t>.</w:t>
      </w:r>
      <w:r>
        <w:rPr>
          <w:rFonts w:cs="Times New Roman"/>
        </w:rPr>
        <w:t xml:space="preserve"> </w:t>
      </w:r>
    </w:p>
    <w:p w14:paraId="142D466E">
      <w:pPr>
        <w:shd w:val="clear" w:color="auto" w:fill="FFFFFF"/>
        <w:spacing w:after="120" w:line="276" w:lineRule="auto"/>
        <w:ind w:firstLine="624"/>
        <w:rPr>
          <w:rFonts w:cs="Times New Roman"/>
        </w:rPr>
      </w:pPr>
      <w:r>
        <w:rPr>
          <w:rFonts w:cs="Times New Roman"/>
        </w:rPr>
        <w:t>3. Đ</w:t>
      </w:r>
      <w:r>
        <w:rPr>
          <w:rFonts w:cs="Times New Roman"/>
          <w:lang w:val="vi-VN"/>
        </w:rPr>
        <w:t>ơn vị sự nghiệp công lập thuộc Ủy ban nhân dân tỉnh;</w:t>
      </w:r>
      <w:r>
        <w:rPr>
          <w:rFonts w:cs="Times New Roman"/>
        </w:rPr>
        <w:t xml:space="preserve"> đơn vị </w:t>
      </w:r>
      <w:r>
        <w:rPr>
          <w:rFonts w:cs="Times New Roman"/>
          <w:lang w:val="vi-VN"/>
        </w:rPr>
        <w:t>sự nghiệp công lập thuộc</w:t>
      </w:r>
      <w:r>
        <w:rPr>
          <w:rFonts w:cs="Times New Roman"/>
        </w:rPr>
        <w:t xml:space="preserve"> </w:t>
      </w:r>
      <w:r>
        <w:rPr>
          <w:rFonts w:cs="Times New Roman"/>
          <w:lang w:val="vi-VN"/>
        </w:rPr>
        <w:t>cơ quan chuyên môn, tổ chức hành chính khác thuộc Ủy ban nhân dân tỉnh; đơn vị sự nghiệp công lập thuộc Ủy ban nhân dân cấp xã.</w:t>
      </w:r>
      <w:r>
        <w:rPr>
          <w:rFonts w:cs="Times New Roman"/>
        </w:rPr>
        <w:t xml:space="preserve"> </w:t>
      </w:r>
    </w:p>
    <w:p w14:paraId="2007F2DC">
      <w:pPr>
        <w:shd w:val="clear" w:color="auto" w:fill="FFFFFF"/>
        <w:spacing w:after="120" w:line="276" w:lineRule="auto"/>
        <w:ind w:firstLine="624"/>
        <w:rPr>
          <w:szCs w:val="28"/>
        </w:rPr>
      </w:pPr>
      <w:r>
        <w:rPr>
          <w:rFonts w:cs="Times New Roman"/>
          <w:szCs w:val="28"/>
          <w:lang w:val="vi-VN"/>
        </w:rPr>
        <w:t>4. Cán bộ, công chức, viên chức thuộc phạm vi quản lý của các cơ quan, tổ chức, đơn vị quy định tại các khoản 1, 2 và 3 Điều này</w:t>
      </w:r>
      <w:r>
        <w:rPr>
          <w:szCs w:val="28"/>
          <w:lang w:val="vi-VN"/>
        </w:rPr>
        <w:t xml:space="preserve"> và các cơ quan, tổ chức, cá nhân có liên quan đến việc thực hiện các nội dung được phân cấp tại Quyết định này</w:t>
      </w:r>
      <w:r>
        <w:rPr>
          <w:szCs w:val="28"/>
        </w:rPr>
        <w:t>.</w:t>
      </w:r>
      <w:bookmarkEnd w:id="1"/>
    </w:p>
    <w:p w14:paraId="2F1CF039">
      <w:pPr>
        <w:shd w:val="clear" w:color="auto" w:fill="FFFFFF"/>
        <w:spacing w:after="120" w:line="276" w:lineRule="auto"/>
        <w:ind w:firstLine="624"/>
        <w:rPr>
          <w:rFonts w:cs="Times New Roman"/>
          <w:b/>
          <w:lang w:val="vi-VN"/>
        </w:rPr>
      </w:pPr>
      <w:r>
        <w:rPr>
          <w:rFonts w:cs="Times New Roman"/>
          <w:b/>
          <w:lang w:val="pt-BR"/>
        </w:rPr>
        <w:t xml:space="preserve">Điều </w:t>
      </w:r>
      <w:r>
        <w:rPr>
          <w:rFonts w:cs="Times New Roman"/>
          <w:b/>
          <w:lang w:val="vi-VN"/>
        </w:rPr>
        <w:t>3</w:t>
      </w:r>
      <w:r>
        <w:rPr>
          <w:rFonts w:cs="Times New Roman"/>
          <w:b/>
          <w:lang w:val="pt-BR"/>
        </w:rPr>
        <w:t>.</w:t>
      </w:r>
      <w:r>
        <w:rPr>
          <w:rFonts w:cs="Times New Roman"/>
          <w:bCs/>
          <w:lang w:val="pt-BR"/>
        </w:rPr>
        <w:t xml:space="preserve"> </w:t>
      </w:r>
      <w:r>
        <w:rPr>
          <w:rFonts w:cs="Times New Roman"/>
          <w:b/>
          <w:lang w:val="pt-BR"/>
        </w:rPr>
        <w:t xml:space="preserve">Phân cấp thẩm quyền cho </w:t>
      </w:r>
      <w:r>
        <w:rPr>
          <w:rFonts w:cs="Times New Roman"/>
          <w:b/>
          <w:lang w:val="vi-VN"/>
        </w:rPr>
        <w:t>cơ quan chuyên môn, tổ chức hành chính khác thuộc Ủy ban nhân dân tỉnh</w:t>
      </w:r>
    </w:p>
    <w:p w14:paraId="4EACBECE">
      <w:pPr>
        <w:shd w:val="clear" w:color="auto" w:fill="FFFFFF"/>
        <w:spacing w:after="120" w:line="276" w:lineRule="auto"/>
        <w:ind w:firstLine="624"/>
        <w:rPr>
          <w:rFonts w:cs="Times New Roman"/>
          <w:szCs w:val="28"/>
          <w:lang w:val="vi-VN"/>
        </w:rPr>
      </w:pPr>
      <w:r>
        <w:rPr>
          <w:rFonts w:cs="Times New Roman"/>
        </w:rPr>
        <w:t>Quyết định cho thôi việc, nghỉ hưu đối với công chức không giữ chức vụ lãnh đạo, quản lý công tác tại cơ quan chuyên</w:t>
      </w:r>
      <w:r>
        <w:rPr>
          <w:rFonts w:cs="Times New Roman"/>
          <w:szCs w:val="28"/>
          <w:lang w:val="vi-VN"/>
        </w:rPr>
        <w:t xml:space="preserve"> môn, tổ chức hành chính khác thuộc Ủy ban nhân dân tỉnh.</w:t>
      </w:r>
    </w:p>
    <w:p w14:paraId="39B821B6">
      <w:pPr>
        <w:spacing w:after="120" w:line="276" w:lineRule="auto"/>
        <w:ind w:firstLine="624"/>
        <w:rPr>
          <w:rFonts w:cs="Times New Roman"/>
        </w:rPr>
      </w:pPr>
      <w:r>
        <w:rPr>
          <w:rFonts w:cs="Times New Roman"/>
          <w:b/>
          <w:lang w:val="vi-VN"/>
        </w:rPr>
        <w:t>Điều 4. Phân cấp thẩm quyền cho Sở Nội vụ</w:t>
      </w:r>
    </w:p>
    <w:p w14:paraId="3BA1560D">
      <w:pPr>
        <w:spacing w:after="120" w:line="276" w:lineRule="auto"/>
        <w:ind w:firstLine="624"/>
        <w:rPr>
          <w:rFonts w:cs="Times New Roman"/>
          <w:szCs w:val="28"/>
        </w:rPr>
      </w:pPr>
      <w:r>
        <w:rPr>
          <w:rFonts w:cs="Times New Roman"/>
        </w:rPr>
        <w:t xml:space="preserve">Ngoài nội dung được phân cấp tại </w:t>
      </w:r>
      <w:bookmarkStart w:id="3" w:name="tc_1"/>
      <w:r>
        <w:rPr>
          <w:rFonts w:cs="Times New Roman"/>
        </w:rPr>
        <w:t>Điều 3 Quyết định này</w:t>
      </w:r>
      <w:bookmarkEnd w:id="3"/>
      <w:r>
        <w:rPr>
          <w:rFonts w:cs="Times New Roman"/>
        </w:rPr>
        <w:t xml:space="preserve">, Sở Nội vụ được phân cấp </w:t>
      </w:r>
      <w:r>
        <w:rPr>
          <w:rFonts w:cs="Times New Roman"/>
          <w:lang w:val="vi-VN"/>
        </w:rPr>
        <w:t>thực hiện việc</w:t>
      </w:r>
      <w:r>
        <w:rPr>
          <w:rFonts w:cs="Times New Roman"/>
        </w:rPr>
        <w:t xml:space="preserve"> </w:t>
      </w:r>
      <w:r>
        <w:rPr>
          <w:rFonts w:cs="Times New Roman"/>
          <w:szCs w:val="28"/>
          <w:lang w:val="vi-VN"/>
        </w:rPr>
        <w:t xml:space="preserve">đồng ý bằng văn bản về </w:t>
      </w:r>
      <w:r>
        <w:rPr>
          <w:rFonts w:cs="Times New Roman"/>
          <w:szCs w:val="28"/>
        </w:rPr>
        <w:t>biệt phái viên chức</w:t>
      </w:r>
      <w:r>
        <w:rPr>
          <w:rFonts w:cs="Times New Roman"/>
          <w:szCs w:val="28"/>
          <w:lang w:val="vi-VN"/>
        </w:rPr>
        <w:t xml:space="preserve"> thuộc phạm vi quản lý của Ủy ban nhân dân tỉnh </w:t>
      </w:r>
      <w:r>
        <w:rPr>
          <w:rFonts w:cs="Times New Roman"/>
          <w:szCs w:val="28"/>
        </w:rPr>
        <w:t>làm công việc ở vị trí việc làm của công chức</w:t>
      </w:r>
      <w:r>
        <w:rPr>
          <w:rFonts w:cs="Times New Roman"/>
          <w:szCs w:val="28"/>
          <w:lang w:val="vi-VN"/>
        </w:rPr>
        <w:t>.</w:t>
      </w:r>
    </w:p>
    <w:p w14:paraId="5438BCBD">
      <w:pPr>
        <w:tabs>
          <w:tab w:val="left" w:pos="720"/>
          <w:tab w:val="left" w:pos="5745"/>
        </w:tabs>
        <w:spacing w:before="120" w:after="120" w:line="276" w:lineRule="auto"/>
        <w:ind w:firstLine="624"/>
        <w:rPr>
          <w:rFonts w:cs="Times New Roman"/>
          <w:b/>
          <w:bCs/>
          <w:lang w:val="pt-BR"/>
        </w:rPr>
      </w:pPr>
      <w:r>
        <w:rPr>
          <w:rFonts w:cs="Times New Roman"/>
          <w:b/>
          <w:bCs/>
          <w:lang w:val="pt-BR"/>
        </w:rPr>
        <w:tab/>
      </w:r>
      <w:r>
        <w:rPr>
          <w:rFonts w:cs="Times New Roman"/>
          <w:b/>
          <w:bCs/>
          <w:lang w:val="pt-BR"/>
        </w:rPr>
        <w:t xml:space="preserve">Điều </w:t>
      </w:r>
      <w:r>
        <w:rPr>
          <w:rFonts w:cs="Times New Roman"/>
          <w:b/>
          <w:bCs/>
          <w:lang w:val="vi-VN"/>
        </w:rPr>
        <w:t>5</w:t>
      </w:r>
      <w:r>
        <w:rPr>
          <w:rFonts w:cs="Times New Roman"/>
          <w:b/>
          <w:bCs/>
          <w:lang w:val="pt-BR"/>
        </w:rPr>
        <w:t xml:space="preserve">. </w:t>
      </w:r>
      <w:r>
        <w:rPr>
          <w:rFonts w:cs="Times New Roman"/>
          <w:b/>
          <w:lang w:val="pt-BR"/>
        </w:rPr>
        <w:t xml:space="preserve">Phân cấp thẩm quyền cho </w:t>
      </w:r>
      <w:r>
        <w:rPr>
          <w:rFonts w:cs="Times New Roman"/>
          <w:b/>
          <w:bCs/>
          <w:lang w:val="pt-BR"/>
        </w:rPr>
        <w:t xml:space="preserve">Chủ tịch </w:t>
      </w:r>
      <w:r>
        <w:rPr>
          <w:rFonts w:cs="Times New Roman"/>
          <w:b/>
          <w:bCs/>
          <w:lang w:val="vi-VN"/>
        </w:rPr>
        <w:t>Ủy ban nhân dân</w:t>
      </w:r>
      <w:r>
        <w:rPr>
          <w:rFonts w:cs="Times New Roman"/>
          <w:b/>
          <w:bCs/>
          <w:lang w:val="pt-BR"/>
        </w:rPr>
        <w:t xml:space="preserve"> cấp xã</w:t>
      </w:r>
    </w:p>
    <w:p w14:paraId="16541C60">
      <w:pPr>
        <w:widowControl w:val="0"/>
        <w:spacing w:before="60"/>
        <w:ind w:firstLine="720"/>
        <w:rPr>
          <w:rFonts w:cs="Times New Roman"/>
          <w:szCs w:val="28"/>
          <w:lang w:val="vi-VN"/>
        </w:rPr>
      </w:pPr>
      <w:r>
        <w:rPr>
          <w:rFonts w:cs="Times New Roman"/>
          <w:szCs w:val="28"/>
          <w:lang w:val="vi-VN"/>
        </w:rPr>
        <w:t xml:space="preserve">1. Quyết định cho thôi việc, </w:t>
      </w:r>
      <w:r>
        <w:rPr>
          <w:rFonts w:cs="Times New Roman"/>
          <w:szCs w:val="28"/>
        </w:rPr>
        <w:t>nghỉ hưu</w:t>
      </w:r>
      <w:r>
        <w:rPr>
          <w:rFonts w:cs="Times New Roman"/>
          <w:szCs w:val="28"/>
          <w:lang w:val="vi-VN"/>
        </w:rPr>
        <w:t xml:space="preserve"> đối với công chức</w:t>
      </w:r>
      <w:r>
        <w:rPr>
          <w:rFonts w:cs="Times New Roman"/>
          <w:szCs w:val="28"/>
        </w:rPr>
        <w:t xml:space="preserve"> </w:t>
      </w:r>
      <w:r>
        <w:rPr>
          <w:rFonts w:cs="Times New Roman"/>
          <w:szCs w:val="28"/>
          <w:lang w:val="vi-VN"/>
        </w:rPr>
        <w:t>không giữ chức vụ lãnh đạo, quản lý công tác tại Ủy ban nhân dân cấp xã.</w:t>
      </w:r>
    </w:p>
    <w:p w14:paraId="253D29D7">
      <w:pPr>
        <w:spacing w:before="120" w:after="0" w:line="240" w:lineRule="auto"/>
        <w:ind w:firstLine="720"/>
        <w:rPr>
          <w:rFonts w:eastAsia="Times New Roman" w:cs="Times New Roman"/>
          <w:kern w:val="0"/>
          <w:szCs w:val="28"/>
          <w14:ligatures w14:val="none"/>
        </w:rPr>
      </w:pPr>
      <w:r>
        <w:rPr>
          <w:rFonts w:eastAsia="Times New Roman" w:cs="Times New Roman"/>
          <w:kern w:val="0"/>
          <w:szCs w:val="28"/>
          <w14:ligatures w14:val="none"/>
        </w:rPr>
        <w:t xml:space="preserve">2. Xử lý kỷ luật bằng hình thức khiển trách hoặc cảnh cáo đối với cán bộ giữ chức vụ Phó Chủ tịch Ủy ban nhân dân cấp xã thuộc phạm vi quản lý. </w:t>
      </w:r>
    </w:p>
    <w:p w14:paraId="2F463707">
      <w:pPr>
        <w:spacing w:before="120" w:after="0" w:line="240" w:lineRule="auto"/>
        <w:ind w:firstLine="720"/>
        <w:rPr>
          <w:rFonts w:eastAsia="Times New Roman" w:cs="Times New Roman"/>
          <w:kern w:val="0"/>
          <w:szCs w:val="28"/>
          <w14:ligatures w14:val="none"/>
        </w:rPr>
      </w:pPr>
      <w:r>
        <w:rPr>
          <w:rFonts w:eastAsia="Times New Roman" w:cs="Times New Roman"/>
          <w:kern w:val="0"/>
          <w:szCs w:val="28"/>
          <w14:ligatures w14:val="none"/>
        </w:rPr>
        <w:t>3. Xử lý kỷ luật bằng hình thức khiển trách hoặc cảnh cáo đối với Phó Chủ tịch Ủy ban nhân dân cấp xã đã thôi việc, nghỉ hưu; Chủ tịch, Phó Chủ tịch Ủy ban nhân dân cấp xã trước khi sắp xếp đơn vị hành chính, tổ chức chính quyền địa phương hai cấp đã thôi việc, nghỉ hưu, có vi phạm trong thời gian công tác và thuộc địa bàn quản lý của cấp xã hiện nay.</w:t>
      </w:r>
    </w:p>
    <w:p w14:paraId="3FA49AC2">
      <w:pPr>
        <w:spacing w:before="120" w:after="120" w:line="276" w:lineRule="auto"/>
        <w:ind w:firstLine="624"/>
        <w:rPr>
          <w:rFonts w:cs="Times New Roman"/>
        </w:rPr>
      </w:pPr>
      <w:r>
        <w:rPr>
          <w:rFonts w:cs="Times New Roman"/>
        </w:rPr>
        <w:tab/>
      </w:r>
      <w:bookmarkStart w:id="4" w:name="dieu_7"/>
      <w:r>
        <w:rPr>
          <w:rFonts w:cs="Times New Roman"/>
          <w:b/>
          <w:bCs/>
        </w:rPr>
        <w:t xml:space="preserve">Điều </w:t>
      </w:r>
      <w:r>
        <w:rPr>
          <w:rFonts w:cs="Times New Roman"/>
          <w:b/>
          <w:bCs/>
          <w:lang w:val="vi-VN"/>
        </w:rPr>
        <w:t>6</w:t>
      </w:r>
      <w:r>
        <w:rPr>
          <w:rFonts w:cs="Times New Roman"/>
          <w:b/>
          <w:bCs/>
        </w:rPr>
        <w:t xml:space="preserve">. </w:t>
      </w:r>
      <w:r>
        <w:rPr>
          <w:rFonts w:cs="Times New Roman"/>
          <w:b/>
          <w:bCs/>
          <w:lang w:val="vi-VN"/>
        </w:rPr>
        <w:t>Hiệu lực</w:t>
      </w:r>
      <w:r>
        <w:rPr>
          <w:rFonts w:cs="Times New Roman"/>
          <w:b/>
          <w:bCs/>
        </w:rPr>
        <w:t xml:space="preserve"> thi hành</w:t>
      </w:r>
      <w:bookmarkEnd w:id="4"/>
    </w:p>
    <w:p w14:paraId="28D1CDFC">
      <w:pPr>
        <w:widowControl w:val="0"/>
        <w:spacing w:before="60"/>
        <w:ind w:firstLine="720"/>
        <w:rPr>
          <w:rFonts w:cs="Times New Roman"/>
          <w:szCs w:val="28"/>
          <w:lang w:val="vi-VN"/>
        </w:rPr>
      </w:pPr>
      <w:r>
        <w:rPr>
          <w:rFonts w:cs="Times New Roman"/>
          <w:szCs w:val="28"/>
          <w:lang w:val="vi-VN"/>
        </w:rPr>
        <w:t>1. Quyết định này có hiệu lực thi hành kể từ ngày    tháng     năm 2026.</w:t>
      </w:r>
    </w:p>
    <w:p w14:paraId="1CB1333D">
      <w:pPr>
        <w:widowControl w:val="0"/>
        <w:spacing w:before="60"/>
        <w:ind w:firstLine="720"/>
        <w:rPr>
          <w:lang w:val="vi-VN"/>
        </w:rPr>
      </w:pPr>
      <w:r>
        <w:rPr>
          <w:rFonts w:cs="Times New Roman"/>
          <w:szCs w:val="28"/>
          <w:lang w:val="vi-VN"/>
        </w:rPr>
        <w:t xml:space="preserve">2. Kể từ ngày Quyết định này có hiệu lực thi hành, </w:t>
      </w:r>
      <w:r>
        <w:rPr>
          <w:lang w:val="vi-VN"/>
        </w:rPr>
        <w:t>Quyết định số 3273/QĐ-UBND ngày 25/12/2025 của Chủ tịch Ủy ban nhân dân tỉnh về việc ủy quyền một số nội dung về quản lý, thực hiện chế độ, chính sách đối với cán bộ, công chức, viên chức</w:t>
      </w:r>
      <w:r>
        <w:t xml:space="preserve"> </w:t>
      </w:r>
      <w:r>
        <w:rPr>
          <w:rFonts w:cs="Times New Roman"/>
          <w:szCs w:val="28"/>
          <w:lang w:val="vi-VN"/>
        </w:rPr>
        <w:t xml:space="preserve">được điều chỉnh về thời hạn ủy quyền tại Quyết định số 1726/QĐ-UBND ngày 30/6/2026 </w:t>
      </w:r>
      <w:r>
        <w:rPr>
          <w:lang w:val="vi-VN"/>
        </w:rPr>
        <w:t>hết hiệu lực thi hành.</w:t>
      </w:r>
    </w:p>
    <w:p w14:paraId="6361471E">
      <w:pPr>
        <w:shd w:val="clear" w:color="auto" w:fill="FFFFFF"/>
        <w:spacing w:before="120" w:after="120" w:line="240" w:lineRule="auto"/>
        <w:ind w:firstLine="720"/>
        <w:rPr>
          <w:rFonts w:cs="Times New Roman"/>
          <w:lang w:val="vi-VN"/>
        </w:rPr>
      </w:pPr>
      <w:r>
        <w:rPr>
          <w:rFonts w:cs="Times New Roman"/>
        </w:rPr>
        <w:t xml:space="preserve"> 3. Đối với hồ sơ</w:t>
      </w:r>
      <w:r>
        <w:rPr>
          <w:rFonts w:cs="Times New Roman"/>
          <w:lang w:val="vi-VN"/>
        </w:rPr>
        <w:t xml:space="preserve"> </w:t>
      </w:r>
      <w:r>
        <w:rPr>
          <w:rFonts w:cs="Times New Roman"/>
        </w:rPr>
        <w:t>thuộc nội dung ủy quyền theo Quyết định số 3273/QĐ-UBND đã được cơ quan, tổ chức, cá nhân có thẩm quyền tiếp nhận trước ngày Quyết định này có hiệu lực thi hành nhưng chưa được giải quyết xong thì tiếp tục được giải quyết theo quy định của pháp luật và thẩm quyền được quy định tại Quyết định này.</w:t>
      </w:r>
      <w:r>
        <w:rPr>
          <w:rFonts w:cs="Times New Roman"/>
          <w:lang w:val="vi-VN"/>
        </w:rPr>
        <w:t xml:space="preserve"> </w:t>
      </w:r>
    </w:p>
    <w:p w14:paraId="13D7F74B">
      <w:pPr>
        <w:widowControl w:val="0"/>
        <w:spacing w:before="60"/>
        <w:ind w:firstLine="720"/>
        <w:rPr>
          <w:rFonts w:cs="Times New Roman"/>
          <w:i/>
          <w:szCs w:val="26"/>
        </w:rPr>
      </w:pPr>
      <w:r>
        <w:rPr>
          <w:rFonts w:cs="Times New Roman"/>
          <w:b/>
          <w:bCs/>
        </w:rPr>
        <w:t xml:space="preserve">Điều </w:t>
      </w:r>
      <w:r>
        <w:rPr>
          <w:rFonts w:cs="Times New Roman"/>
          <w:b/>
          <w:bCs/>
          <w:lang w:val="vi-VN"/>
        </w:rPr>
        <w:t>7</w:t>
      </w:r>
      <w:r>
        <w:rPr>
          <w:rFonts w:cs="Times New Roman"/>
          <w:b/>
          <w:bCs/>
        </w:rPr>
        <w:t>. Tổ chức thực hiện</w:t>
      </w:r>
    </w:p>
    <w:p w14:paraId="11D40D8A">
      <w:pPr>
        <w:shd w:val="clear" w:color="auto" w:fill="FFFFFF"/>
        <w:spacing w:before="120" w:after="120" w:line="240" w:lineRule="auto"/>
        <w:ind w:firstLine="720"/>
        <w:rPr>
          <w:rFonts w:cs="Times New Roman"/>
          <w:b/>
          <w:szCs w:val="28"/>
          <w:lang w:val="vi-VN"/>
        </w:rPr>
      </w:pPr>
      <w:r>
        <w:rPr>
          <w:rFonts w:cs="Times New Roman"/>
        </w:rPr>
        <w:t xml:space="preserve">1. Cơ quan, người được phân cấp </w:t>
      </w:r>
      <w:r>
        <w:rPr>
          <w:rFonts w:cs="Times New Roman"/>
          <w:lang w:val="vi-VN"/>
        </w:rPr>
        <w:t>tổ chức thực hiện đúng</w:t>
      </w:r>
      <w:r>
        <w:rPr>
          <w:rFonts w:cs="Times New Roman"/>
        </w:rPr>
        <w:t xml:space="preserve"> nội dung, phạm vi phân cấp; chịu trách nhiệm trước pháp luật, trước Chủ tịch </w:t>
      </w:r>
      <w:r>
        <w:rPr>
          <w:rFonts w:cs="Times New Roman"/>
          <w:lang w:val="vi-VN"/>
        </w:rPr>
        <w:t>Ủy ban nhân dân</w:t>
      </w:r>
      <w:r>
        <w:rPr>
          <w:rFonts w:cs="Times New Roman"/>
        </w:rPr>
        <w:t xml:space="preserve"> tỉnh về kết quả thực hiện; định kỳ báo cáo, đánh giá kết quả thực hiện và không được phân cấp tiếp nhiệm vụ, quyền hạn được phân cấp. Các cơ quan, tổ chức, đơn vị, cá nhân có liên quan có</w:t>
      </w:r>
      <w:r>
        <w:rPr>
          <w:rFonts w:cs="Times New Roman"/>
          <w:szCs w:val="28"/>
          <w:lang w:val="vi-VN"/>
        </w:rPr>
        <w:t xml:space="preserve"> trách nhiệm phối </w:t>
      </w:r>
      <w:r>
        <w:rPr>
          <w:rStyle w:val="13"/>
          <w:rFonts w:cs="Times New Roman"/>
          <w:b w:val="0"/>
          <w:color w:val="0D0D0D"/>
          <w:shd w:val="clear" w:color="auto" w:fill="FCFCFC"/>
        </w:rPr>
        <w:t>hợp thực hiện Quyết định này.</w:t>
      </w:r>
    </w:p>
    <w:p w14:paraId="2C80480E">
      <w:pPr>
        <w:shd w:val="clear" w:color="auto" w:fill="FFFFFF"/>
        <w:spacing w:before="120" w:after="120" w:line="240" w:lineRule="auto"/>
        <w:ind w:firstLine="720"/>
        <w:rPr>
          <w:rFonts w:cs="Times New Roman"/>
          <w:szCs w:val="28"/>
          <w:lang w:val="vi-VN"/>
        </w:rPr>
      </w:pPr>
      <w:r>
        <w:rPr>
          <w:rFonts w:cs="Times New Roman"/>
          <w:szCs w:val="28"/>
          <w:lang w:val="vi-VN"/>
        </w:rPr>
        <w:t>2. Sở Nội vụ hướng dẫn, theo dõi, kiểm tra, tổng hợp, báo cáo Chủ tịch Ủy ban nhân dân tỉnh về việc thực hiện Quyết định này.</w:t>
      </w:r>
    </w:p>
    <w:p w14:paraId="56DE2531">
      <w:pPr>
        <w:shd w:val="clear" w:color="auto" w:fill="FFFFFF"/>
        <w:spacing w:before="120" w:after="120" w:line="240" w:lineRule="auto"/>
        <w:ind w:firstLine="720"/>
        <w:rPr>
          <w:rFonts w:cs="Times New Roman"/>
          <w:bCs/>
        </w:rPr>
      </w:pPr>
      <w:r>
        <w:rPr>
          <w:rFonts w:cs="Times New Roman"/>
        </w:rPr>
        <w:t xml:space="preserve">3. </w:t>
      </w:r>
      <w:r>
        <w:rPr>
          <w:rFonts w:cs="Times New Roman"/>
          <w:bCs/>
        </w:rPr>
        <w:t>Trường hợp văn bản quy phạm pháp luật của cơ quan nhà nước có thẩm quyền ban hành sau ngày Quyết định này có hiệu lực quy định khác với quy định tại Quyết định này thì thực hiện theo văn bản quy phạm pháp luật đó.</w:t>
      </w:r>
    </w:p>
    <w:p w14:paraId="02852924">
      <w:pPr>
        <w:shd w:val="clear" w:color="auto" w:fill="FFFFFF"/>
        <w:spacing w:before="120" w:after="120" w:line="240" w:lineRule="auto"/>
        <w:ind w:firstLine="720"/>
        <w:rPr>
          <w:rFonts w:cs="Times New Roman"/>
          <w:szCs w:val="28"/>
          <w:lang w:val="vi-VN"/>
        </w:rPr>
      </w:pPr>
      <w:r>
        <w:rPr>
          <w:rFonts w:cs="Times New Roman"/>
          <w:lang w:val="vi-VN"/>
        </w:rPr>
        <w:t>4</w:t>
      </w:r>
      <w:r>
        <w:rPr>
          <w:rFonts w:cs="Times New Roman"/>
        </w:rPr>
        <w:t xml:space="preserve">. Trong quá trình tổ chức, triển khai thực hiện, nếu có phát sinh vấn đề vướng mắc, khó khăn, các cơ quan, tổ chức, đơn vị, địa phương phản ánh, kiến nghị bằng văn bản về Sở Nội vụ để được hướng dẫn, giải quyết. Trường hợp vượt thẩm quyền, Sở Nội vụ tổng hợp, tham mưu đề xuất </w:t>
      </w:r>
      <w:r>
        <w:rPr>
          <w:rFonts w:cs="Times New Roman"/>
          <w:lang w:val="vi-VN"/>
        </w:rPr>
        <w:t xml:space="preserve">Chủ tịch </w:t>
      </w:r>
      <w:r>
        <w:rPr>
          <w:rFonts w:cs="Times New Roman"/>
        </w:rPr>
        <w:t>Ủy ban nhân dân tỉnh xem xét sửa đổi, bổ sung cho phù hợp.</w:t>
      </w:r>
      <w:r>
        <w:rPr>
          <w:rFonts w:cs="Times New Roman"/>
          <w:lang w:val="vi-VN"/>
        </w:rPr>
        <w:t>/.</w:t>
      </w:r>
    </w:p>
    <w:p w14:paraId="4BE34863">
      <w:pPr>
        <w:tabs>
          <w:tab w:val="left" w:pos="720"/>
          <w:tab w:val="left" w:pos="5745"/>
        </w:tabs>
        <w:spacing w:after="0" w:line="240" w:lineRule="auto"/>
        <w:ind w:firstLine="624"/>
        <w:rPr>
          <w:rFonts w:cs="Times New Roman"/>
          <w:szCs w:val="26"/>
        </w:rPr>
      </w:pPr>
    </w:p>
    <w:tbl>
      <w:tblPr>
        <w:tblStyle w:val="3"/>
        <w:tblW w:w="9356" w:type="dxa"/>
        <w:tblInd w:w="0" w:type="dxa"/>
        <w:tblLayout w:type="autofit"/>
        <w:tblCellMar>
          <w:top w:w="0" w:type="dxa"/>
          <w:left w:w="108" w:type="dxa"/>
          <w:bottom w:w="0" w:type="dxa"/>
          <w:right w:w="108" w:type="dxa"/>
        </w:tblCellMar>
      </w:tblPr>
      <w:tblGrid>
        <w:gridCol w:w="4111"/>
        <w:gridCol w:w="5245"/>
      </w:tblGrid>
      <w:tr w14:paraId="3776A2AD">
        <w:tblPrEx>
          <w:tblCellMar>
            <w:top w:w="0" w:type="dxa"/>
            <w:left w:w="108" w:type="dxa"/>
            <w:bottom w:w="0" w:type="dxa"/>
            <w:right w:w="108" w:type="dxa"/>
          </w:tblCellMar>
        </w:tblPrEx>
        <w:tc>
          <w:tcPr>
            <w:tcW w:w="4111" w:type="dxa"/>
          </w:tcPr>
          <w:p w14:paraId="695CEC7B">
            <w:pPr>
              <w:tabs>
                <w:tab w:val="center" w:pos="7296"/>
              </w:tabs>
              <w:spacing w:after="0" w:line="240" w:lineRule="auto"/>
              <w:jc w:val="left"/>
              <w:rPr>
                <w:rFonts w:eastAsia="Times New Roman" w:cs="Times New Roman"/>
                <w:b/>
                <w:bCs/>
                <w:i/>
                <w:iCs/>
                <w:kern w:val="0"/>
                <w:sz w:val="20"/>
                <w:szCs w:val="20"/>
                <w14:ligatures w14:val="none"/>
              </w:rPr>
            </w:pPr>
            <w:r>
              <w:rPr>
                <w:rFonts w:eastAsia="Times New Roman" w:cs="Times New Roman"/>
                <w:b/>
                <w:bCs/>
                <w:i/>
                <w:iCs/>
                <w:kern w:val="0"/>
                <w:sz w:val="24"/>
                <w:szCs w:val="24"/>
                <w14:ligatures w14:val="none"/>
              </w:rPr>
              <w:t>Nơi nhận</w:t>
            </w:r>
            <w:r>
              <w:rPr>
                <w:rFonts w:eastAsia="Times New Roman" w:cs="Times New Roman"/>
                <w:b/>
                <w:bCs/>
                <w:i/>
                <w:iCs/>
                <w:kern w:val="0"/>
                <w:sz w:val="20"/>
                <w:szCs w:val="20"/>
                <w14:ligatures w14:val="none"/>
              </w:rPr>
              <w:t>:</w:t>
            </w:r>
          </w:p>
          <w:p w14:paraId="2CE927D1">
            <w:pPr>
              <w:tabs>
                <w:tab w:val="center" w:pos="7296"/>
              </w:tabs>
              <w:spacing w:after="0" w:line="240" w:lineRule="auto"/>
              <w:jc w:val="left"/>
              <w:rPr>
                <w:rFonts w:eastAsia="Times New Roman" w:cs="Times New Roman"/>
                <w:kern w:val="0"/>
                <w:sz w:val="22"/>
                <w14:ligatures w14:val="none"/>
              </w:rPr>
            </w:pPr>
            <w:r>
              <w:rPr>
                <w:rFonts w:eastAsia="Times New Roman" w:cs="Times New Roman"/>
                <w:kern w:val="0"/>
                <w:sz w:val="22"/>
                <w14:ligatures w14:val="none"/>
              </w:rPr>
              <w:t xml:space="preserve">- Như Điều </w:t>
            </w:r>
            <w:r>
              <w:rPr>
                <w:rFonts w:eastAsia="Times New Roman" w:cs="Times New Roman"/>
                <w:kern w:val="0"/>
                <w:sz w:val="22"/>
                <w:lang w:val="vi-VN"/>
                <w14:ligatures w14:val="none"/>
              </w:rPr>
              <w:t>7</w:t>
            </w:r>
            <w:r>
              <w:rPr>
                <w:rFonts w:eastAsia="Times New Roman" w:cs="Times New Roman"/>
                <w:kern w:val="0"/>
                <w:sz w:val="22"/>
                <w14:ligatures w14:val="none"/>
              </w:rPr>
              <w:t>;</w:t>
            </w:r>
          </w:p>
          <w:p w14:paraId="07A93D71">
            <w:pPr>
              <w:tabs>
                <w:tab w:val="center" w:pos="7296"/>
              </w:tabs>
              <w:spacing w:after="0" w:line="240" w:lineRule="auto"/>
              <w:jc w:val="left"/>
              <w:rPr>
                <w:rFonts w:eastAsia="Times New Roman" w:cs="Times New Roman"/>
                <w:kern w:val="0"/>
                <w:sz w:val="22"/>
                <w14:ligatures w14:val="none"/>
              </w:rPr>
            </w:pPr>
            <w:r>
              <w:rPr>
                <w:rFonts w:eastAsia="Times New Roman" w:cs="Times New Roman"/>
                <w:kern w:val="0"/>
                <w:sz w:val="22"/>
                <w14:ligatures w14:val="none"/>
              </w:rPr>
              <w:t>- Bộ Nội vụ</w:t>
            </w:r>
            <w:r>
              <w:rPr>
                <w:rFonts w:eastAsia="Times New Roman" w:cs="Times New Roman"/>
                <w:kern w:val="0"/>
                <w:sz w:val="22"/>
                <w:lang w:val="vi-VN"/>
                <w14:ligatures w14:val="none"/>
              </w:rPr>
              <w:t xml:space="preserve"> (Vụ pháp chế)</w:t>
            </w:r>
            <w:r>
              <w:rPr>
                <w:rFonts w:eastAsia="Times New Roman" w:cs="Times New Roman"/>
                <w:kern w:val="0"/>
                <w:sz w:val="22"/>
                <w14:ligatures w14:val="none"/>
              </w:rPr>
              <w:t>;</w:t>
            </w:r>
          </w:p>
          <w:p w14:paraId="02A6DA97">
            <w:pPr>
              <w:tabs>
                <w:tab w:val="center" w:pos="7296"/>
              </w:tabs>
              <w:spacing w:after="0" w:line="240" w:lineRule="auto"/>
              <w:jc w:val="left"/>
              <w:rPr>
                <w:rFonts w:eastAsia="Times New Roman" w:cs="Times New Roman"/>
                <w:kern w:val="0"/>
                <w:sz w:val="22"/>
                <w14:ligatures w14:val="none"/>
              </w:rPr>
            </w:pPr>
            <w:r>
              <w:rPr>
                <w:rFonts w:eastAsia="Times New Roman" w:cs="Times New Roman"/>
                <w:kern w:val="0"/>
                <w:sz w:val="22"/>
                <w14:ligatures w14:val="none"/>
              </w:rPr>
              <w:t xml:space="preserve">- </w:t>
            </w:r>
            <w:r>
              <w:rPr>
                <w:rFonts w:eastAsia="Times New Roman" w:cs="Times New Roman"/>
                <w:kern w:val="0"/>
                <w:sz w:val="22"/>
                <w:lang w:val="vi-VN"/>
                <w14:ligatures w14:val="none"/>
              </w:rPr>
              <w:t>Bộ Tư pháp (</w:t>
            </w:r>
            <w:r>
              <w:rPr>
                <w:rFonts w:eastAsia="Times New Roman" w:cs="Times New Roman"/>
                <w:kern w:val="0"/>
                <w:sz w:val="22"/>
                <w14:ligatures w14:val="none"/>
              </w:rPr>
              <w:t>Cục Kiểm tra văn bản</w:t>
            </w:r>
            <w:r>
              <w:rPr>
                <w:rFonts w:eastAsia="Times New Roman" w:cs="Times New Roman"/>
                <w:kern w:val="0"/>
                <w:sz w:val="22"/>
                <w:lang w:val="vi-VN"/>
                <w14:ligatures w14:val="none"/>
              </w:rPr>
              <w:t xml:space="preserve"> và Tổ chức thi hành pháp luật)</w:t>
            </w:r>
            <w:r>
              <w:rPr>
                <w:rFonts w:eastAsia="Times New Roman" w:cs="Times New Roman"/>
                <w:kern w:val="0"/>
                <w:sz w:val="22"/>
                <w14:ligatures w14:val="none"/>
              </w:rPr>
              <w:t>;</w:t>
            </w:r>
          </w:p>
          <w:p w14:paraId="561C91B8">
            <w:pPr>
              <w:tabs>
                <w:tab w:val="center" w:pos="7296"/>
              </w:tabs>
              <w:spacing w:after="0" w:line="240" w:lineRule="auto"/>
              <w:jc w:val="left"/>
              <w:rPr>
                <w:rFonts w:eastAsia="Times New Roman" w:cs="Times New Roman"/>
                <w:kern w:val="0"/>
                <w:sz w:val="22"/>
                <w14:ligatures w14:val="none"/>
              </w:rPr>
            </w:pPr>
            <w:r>
              <w:rPr>
                <w:rFonts w:eastAsia="Times New Roman" w:cs="Times New Roman"/>
                <w:kern w:val="0"/>
                <w:sz w:val="22"/>
                <w14:ligatures w14:val="none"/>
              </w:rPr>
              <w:t>- TT Tỉnh ủy, TT HĐND tỉnh;</w:t>
            </w:r>
          </w:p>
          <w:p w14:paraId="210F28E6">
            <w:pPr>
              <w:tabs>
                <w:tab w:val="center" w:pos="7296"/>
              </w:tabs>
              <w:spacing w:after="0" w:line="240" w:lineRule="auto"/>
              <w:jc w:val="left"/>
              <w:rPr>
                <w:rFonts w:eastAsia="Times New Roman" w:cs="Times New Roman"/>
                <w:kern w:val="0"/>
                <w:sz w:val="22"/>
                <w14:ligatures w14:val="none"/>
              </w:rPr>
            </w:pPr>
            <w:r>
              <w:rPr>
                <w:rFonts w:eastAsia="Times New Roman" w:cs="Times New Roman"/>
                <w:kern w:val="0"/>
                <w:sz w:val="22"/>
                <w14:ligatures w14:val="none"/>
              </w:rPr>
              <w:t>- Đoàn ĐBQH tỉnh;</w:t>
            </w:r>
          </w:p>
          <w:p w14:paraId="5DA0BCFF">
            <w:pPr>
              <w:tabs>
                <w:tab w:val="center" w:pos="7296"/>
              </w:tabs>
              <w:spacing w:after="0" w:line="240" w:lineRule="auto"/>
              <w:jc w:val="left"/>
              <w:rPr>
                <w:rFonts w:eastAsia="Times New Roman" w:cs="Times New Roman"/>
                <w:kern w:val="0"/>
                <w:sz w:val="22"/>
                <w14:ligatures w14:val="none"/>
              </w:rPr>
            </w:pPr>
            <w:r>
              <w:rPr>
                <w:rFonts w:eastAsia="Times New Roman" w:cs="Times New Roman"/>
                <w:kern w:val="0"/>
                <w:sz w:val="22"/>
                <w14:ligatures w14:val="none"/>
              </w:rPr>
              <w:t>- Chủ tịch, các Phó Chủ tịch UBND tỉnh;</w:t>
            </w:r>
          </w:p>
          <w:p w14:paraId="7A7F5A60">
            <w:pPr>
              <w:tabs>
                <w:tab w:val="center" w:pos="7296"/>
              </w:tabs>
              <w:spacing w:after="0" w:line="240" w:lineRule="auto"/>
              <w:jc w:val="left"/>
              <w:rPr>
                <w:rFonts w:eastAsia="Times New Roman" w:cs="Times New Roman"/>
                <w:kern w:val="0"/>
                <w:sz w:val="22"/>
                <w14:ligatures w14:val="none"/>
              </w:rPr>
            </w:pPr>
            <w:r>
              <w:rPr>
                <w:rFonts w:eastAsia="Times New Roman" w:cs="Times New Roman"/>
                <w:kern w:val="0"/>
                <w:sz w:val="22"/>
                <w14:ligatures w14:val="none"/>
              </w:rPr>
              <w:t>- CVP, các PCVP UBND tỉnh;</w:t>
            </w:r>
          </w:p>
          <w:p w14:paraId="02BB099E">
            <w:pPr>
              <w:tabs>
                <w:tab w:val="center" w:pos="7296"/>
              </w:tabs>
              <w:spacing w:after="0" w:line="240" w:lineRule="auto"/>
              <w:jc w:val="left"/>
              <w:rPr>
                <w:rFonts w:eastAsia="Times New Roman" w:cs="Times New Roman"/>
                <w:kern w:val="0"/>
                <w:sz w:val="22"/>
                <w:lang w:val="vi-VN"/>
                <w14:ligatures w14:val="none"/>
              </w:rPr>
            </w:pPr>
            <w:r>
              <w:rPr>
                <w:rFonts w:eastAsia="Times New Roman" w:cs="Times New Roman"/>
                <w:kern w:val="0"/>
                <w:sz w:val="22"/>
                <w:lang w:val="vi-VN"/>
                <w14:ligatures w14:val="none"/>
              </w:rPr>
              <w:t>- Ban Tổ chức Tỉnh ủy;</w:t>
            </w:r>
          </w:p>
          <w:p w14:paraId="5C6CA5DF">
            <w:pPr>
              <w:tabs>
                <w:tab w:val="center" w:pos="7296"/>
              </w:tabs>
              <w:spacing w:after="0" w:line="240" w:lineRule="auto"/>
              <w:jc w:val="left"/>
              <w:rPr>
                <w:rFonts w:eastAsia="Times New Roman" w:cs="Times New Roman"/>
                <w:kern w:val="0"/>
                <w:sz w:val="22"/>
                <w:lang w:val="vi-VN"/>
                <w14:ligatures w14:val="none"/>
              </w:rPr>
            </w:pPr>
            <w:r>
              <w:rPr>
                <w:rFonts w:eastAsia="Times New Roman" w:cs="Times New Roman"/>
                <w:kern w:val="0"/>
                <w:sz w:val="22"/>
                <w:lang w:val="vi-VN"/>
                <w14:ligatures w14:val="none"/>
              </w:rPr>
              <w:t>- Các sở, ban, ngành, đơn vị sự nghiệp công lập thuộc UBND tỉnh;</w:t>
            </w:r>
          </w:p>
          <w:p w14:paraId="4F24540C">
            <w:pPr>
              <w:tabs>
                <w:tab w:val="center" w:pos="7296"/>
              </w:tabs>
              <w:spacing w:after="0" w:line="240" w:lineRule="auto"/>
              <w:jc w:val="left"/>
              <w:rPr>
                <w:rFonts w:eastAsia="Times New Roman" w:cs="Times New Roman"/>
                <w:kern w:val="0"/>
                <w:sz w:val="22"/>
                <w:lang w:val="vi-VN"/>
                <w14:ligatures w14:val="none"/>
              </w:rPr>
            </w:pPr>
            <w:r>
              <w:rPr>
                <w:rFonts w:eastAsia="Times New Roman" w:cs="Times New Roman"/>
                <w:kern w:val="0"/>
                <w:sz w:val="22"/>
                <w:lang w:val="vi-VN"/>
                <w14:ligatures w14:val="none"/>
              </w:rPr>
              <w:t>- UBND các xã, phường;</w:t>
            </w:r>
          </w:p>
          <w:p w14:paraId="001EDB69">
            <w:pPr>
              <w:tabs>
                <w:tab w:val="center" w:pos="7296"/>
              </w:tabs>
              <w:spacing w:after="0" w:line="240" w:lineRule="auto"/>
              <w:jc w:val="left"/>
              <w:rPr>
                <w:rFonts w:eastAsia="Calibri" w:cs="Times New Roman"/>
                <w:sz w:val="22"/>
                <w:lang w:val="vi-VN"/>
              </w:rPr>
            </w:pPr>
            <w:r>
              <w:rPr>
                <w:rFonts w:eastAsia="Calibri" w:cs="Times New Roman"/>
                <w:sz w:val="22"/>
                <w:lang w:val="vi-VN"/>
              </w:rPr>
              <w:t xml:space="preserve">- Trung tâm </w:t>
            </w:r>
            <w:r>
              <w:rPr>
                <w:rFonts w:eastAsia="Calibri" w:cs="Times New Roman"/>
                <w:sz w:val="22"/>
              </w:rPr>
              <w:t>Thông tin-XTHTĐT</w:t>
            </w:r>
            <w:r>
              <w:rPr>
                <w:rFonts w:eastAsia="Calibri" w:cs="Times New Roman"/>
                <w:sz w:val="22"/>
                <w:lang w:val="vi-VN"/>
              </w:rPr>
              <w:t xml:space="preserve"> tỉnh;</w:t>
            </w:r>
          </w:p>
          <w:p w14:paraId="5D032042">
            <w:pPr>
              <w:tabs>
                <w:tab w:val="center" w:pos="7296"/>
              </w:tabs>
              <w:spacing w:after="0" w:line="240" w:lineRule="auto"/>
              <w:jc w:val="left"/>
              <w:rPr>
                <w:rFonts w:eastAsia="Times New Roman" w:cs="Times New Roman"/>
                <w:kern w:val="0"/>
                <w:sz w:val="22"/>
                <w14:ligatures w14:val="none"/>
              </w:rPr>
            </w:pPr>
            <w:r>
              <w:rPr>
                <w:rFonts w:eastAsia="Times New Roman" w:cs="Times New Roman"/>
                <w:kern w:val="0"/>
                <w:sz w:val="22"/>
                <w14:ligatures w14:val="none"/>
              </w:rPr>
              <w:t>- Cổng Thông tin điện tử tỉnh;</w:t>
            </w:r>
          </w:p>
          <w:p w14:paraId="40F5F146">
            <w:pPr>
              <w:tabs>
                <w:tab w:val="center" w:pos="7296"/>
              </w:tabs>
              <w:spacing w:after="0" w:line="240" w:lineRule="auto"/>
              <w:jc w:val="left"/>
              <w:rPr>
                <w:rFonts w:eastAsia="Times New Roman" w:cs="Times New Roman"/>
                <w:b/>
                <w:bCs/>
                <w:i/>
                <w:iCs/>
                <w:kern w:val="0"/>
                <w:sz w:val="24"/>
                <w:szCs w:val="24"/>
                <w14:ligatures w14:val="none"/>
              </w:rPr>
            </w:pPr>
            <w:r>
              <w:rPr>
                <w:rFonts w:eastAsia="Times New Roman" w:cs="Times New Roman"/>
                <w:kern w:val="0"/>
                <w:sz w:val="22"/>
                <w14:ligatures w14:val="none"/>
              </w:rPr>
              <w:t>- Lưu: VT, NC</w:t>
            </w:r>
            <w:r>
              <w:rPr>
                <w:rFonts w:eastAsia="Times New Roman" w:cs="Times New Roman"/>
                <w:kern w:val="0"/>
                <w:sz w:val="22"/>
                <w:lang w:val="vi-VN"/>
                <w14:ligatures w14:val="none"/>
              </w:rPr>
              <w:t xml:space="preserve"> (3)</w:t>
            </w:r>
            <w:r>
              <w:rPr>
                <w:rFonts w:eastAsia="Times New Roman" w:cs="Times New Roman"/>
                <w:kern w:val="0"/>
                <w:sz w:val="22"/>
                <w14:ligatures w14:val="none"/>
              </w:rPr>
              <w:t>.</w:t>
            </w:r>
          </w:p>
        </w:tc>
        <w:tc>
          <w:tcPr>
            <w:tcW w:w="5245" w:type="dxa"/>
          </w:tcPr>
          <w:p w14:paraId="3635D702">
            <w:pPr>
              <w:tabs>
                <w:tab w:val="center" w:pos="7296"/>
              </w:tabs>
              <w:spacing w:after="0" w:line="240" w:lineRule="auto"/>
              <w:jc w:val="center"/>
              <w:rPr>
                <w:rFonts w:eastAsia="Times New Roman" w:cs="Times New Roman"/>
                <w:bCs/>
                <w:kern w:val="0"/>
                <w:szCs w:val="28"/>
                <w14:ligatures w14:val="none"/>
              </w:rPr>
            </w:pPr>
            <w:r>
              <w:rPr>
                <w:rFonts w:eastAsia="Times New Roman" w:cs="Times New Roman"/>
                <w:b/>
                <w:bCs/>
                <w:kern w:val="0"/>
                <w:szCs w:val="26"/>
                <w14:ligatures w14:val="none"/>
              </w:rPr>
              <w:t>CHỦ TỊCH</w:t>
            </w:r>
          </w:p>
          <w:p w14:paraId="4A8633A1">
            <w:pPr>
              <w:tabs>
                <w:tab w:val="center" w:pos="7296"/>
              </w:tabs>
              <w:spacing w:after="0" w:line="240" w:lineRule="auto"/>
              <w:jc w:val="center"/>
              <w:rPr>
                <w:rFonts w:eastAsia="Times New Roman" w:cs="Times New Roman"/>
                <w:bCs/>
                <w:kern w:val="0"/>
                <w:szCs w:val="28"/>
                <w14:ligatures w14:val="none"/>
              </w:rPr>
            </w:pPr>
          </w:p>
          <w:p w14:paraId="19778168">
            <w:pPr>
              <w:tabs>
                <w:tab w:val="center" w:pos="7296"/>
              </w:tabs>
              <w:spacing w:after="0" w:line="240" w:lineRule="auto"/>
              <w:jc w:val="center"/>
              <w:rPr>
                <w:rFonts w:eastAsia="Times New Roman" w:cs="Times New Roman"/>
                <w:bCs/>
                <w:i/>
                <w:kern w:val="0"/>
                <w:szCs w:val="28"/>
                <w14:ligatures w14:val="none"/>
              </w:rPr>
            </w:pPr>
          </w:p>
          <w:p w14:paraId="18AC2510">
            <w:pPr>
              <w:tabs>
                <w:tab w:val="center" w:pos="7296"/>
              </w:tabs>
              <w:spacing w:after="0" w:line="240" w:lineRule="auto"/>
              <w:jc w:val="center"/>
              <w:rPr>
                <w:rFonts w:eastAsia="Times New Roman" w:cs="Times New Roman"/>
                <w:bCs/>
                <w:kern w:val="0"/>
                <w:szCs w:val="28"/>
                <w14:ligatures w14:val="none"/>
              </w:rPr>
            </w:pPr>
          </w:p>
          <w:p w14:paraId="1F1685B8">
            <w:pPr>
              <w:tabs>
                <w:tab w:val="center" w:pos="7296"/>
              </w:tabs>
              <w:spacing w:before="120" w:after="0" w:line="240" w:lineRule="auto"/>
              <w:jc w:val="center"/>
              <w:rPr>
                <w:rFonts w:eastAsia="Times New Roman" w:cs="Times New Roman"/>
                <w:b/>
                <w:bCs/>
                <w:kern w:val="0"/>
                <w:szCs w:val="28"/>
                <w14:ligatures w14:val="none"/>
              </w:rPr>
            </w:pPr>
          </w:p>
          <w:p w14:paraId="3E14B272">
            <w:pPr>
              <w:tabs>
                <w:tab w:val="center" w:pos="7296"/>
              </w:tabs>
              <w:spacing w:before="120" w:after="0" w:line="240" w:lineRule="auto"/>
              <w:jc w:val="center"/>
              <w:rPr>
                <w:rFonts w:eastAsia="Times New Roman" w:cs="Times New Roman"/>
                <w:b/>
                <w:bCs/>
                <w:kern w:val="0"/>
                <w:szCs w:val="28"/>
                <w14:ligatures w14:val="none"/>
              </w:rPr>
            </w:pPr>
          </w:p>
          <w:p w14:paraId="3B0E87A5">
            <w:pPr>
              <w:tabs>
                <w:tab w:val="center" w:pos="7296"/>
              </w:tabs>
              <w:spacing w:before="120" w:after="0" w:line="240" w:lineRule="auto"/>
              <w:jc w:val="center"/>
              <w:rPr>
                <w:rFonts w:eastAsia="Times New Roman" w:cs="Times New Roman"/>
                <w:b/>
                <w:bCs/>
                <w:kern w:val="0"/>
                <w:szCs w:val="28"/>
                <w14:ligatures w14:val="none"/>
              </w:rPr>
            </w:pPr>
          </w:p>
        </w:tc>
      </w:tr>
    </w:tbl>
    <w:p w14:paraId="5D4BA99A">
      <w:pPr>
        <w:spacing w:after="0" w:line="240" w:lineRule="auto"/>
        <w:rPr>
          <w:rFonts w:cs="Times New Roman"/>
          <w:sz w:val="20"/>
          <w:szCs w:val="20"/>
        </w:rPr>
      </w:pPr>
    </w:p>
    <w:p w14:paraId="3AB66238">
      <w:pPr>
        <w:spacing w:after="0"/>
        <w:rPr>
          <w:rFonts w:cs="Times New Roman"/>
        </w:rPr>
      </w:pPr>
    </w:p>
    <w:p w14:paraId="01E2E00E">
      <w:pPr>
        <w:rPr>
          <w:rFonts w:cs="Times New Roman"/>
        </w:rPr>
      </w:pPr>
    </w:p>
    <w:sectPr>
      <w:headerReference r:id="rId5" w:type="default"/>
      <w:footerReference r:id="rId6" w:type="even"/>
      <w:pgSz w:w="11907" w:h="16840"/>
      <w:pgMar w:top="1134" w:right="1134" w:bottom="1134" w:left="1701" w:header="720" w:footer="567" w:gutter="0"/>
      <w:cols w:space="720" w:num="1"/>
      <w:titlePg/>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21555">
    <w:pPr>
      <w:pStyle w:val="9"/>
      <w:framePr w:wrap="around" w:vAnchor="text" w:hAnchor="margin" w:xAlign="center" w:y="1"/>
      <w:rPr>
        <w:rStyle w:val="12"/>
      </w:rPr>
    </w:pPr>
    <w:r>
      <w:rPr>
        <w:rStyle w:val="12"/>
      </w:rPr>
      <w:fldChar w:fldCharType="begin"/>
    </w:r>
    <w:r>
      <w:rPr>
        <w:rStyle w:val="12"/>
      </w:rPr>
      <w:instrText xml:space="preserve">PAGE  </w:instrText>
    </w:r>
    <w:r>
      <w:rPr>
        <w:rStyle w:val="12"/>
      </w:rPr>
      <w:fldChar w:fldCharType="separate"/>
    </w:r>
    <w:r>
      <w:rPr>
        <w:rStyle w:val="12"/>
      </w:rPr>
      <w:t>1</w:t>
    </w:r>
    <w:r>
      <w:rPr>
        <w:rStyle w:val="12"/>
      </w:rPr>
      <w:fldChar w:fldCharType="end"/>
    </w:r>
  </w:p>
  <w:p w14:paraId="04592EE1">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50413266"/>
      <w:docPartObj>
        <w:docPartGallery w:val="AutoText"/>
      </w:docPartObj>
    </w:sdtPr>
    <w:sdtEndPr>
      <w:rPr>
        <w:sz w:val="24"/>
        <w:szCs w:val="24"/>
      </w:rPr>
    </w:sdtEndPr>
    <w:sdtContent>
      <w:p w14:paraId="1D1D84A7">
        <w:pPr>
          <w:pStyle w:val="10"/>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3</w:t>
        </w:r>
        <w:r>
          <w:rPr>
            <w:sz w:val="24"/>
            <w:szCs w:val="24"/>
          </w:rPr>
          <w:fldChar w:fldCharType="end"/>
        </w:r>
      </w:p>
    </w:sdtContent>
  </w:sdt>
  <w:p w14:paraId="1076CD64">
    <w:pPr>
      <w:pStyle w:val="10"/>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ocumentProtection w:enforcement="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F9B"/>
    <w:rsid w:val="00006F00"/>
    <w:rsid w:val="00056429"/>
    <w:rsid w:val="00067512"/>
    <w:rsid w:val="000707E0"/>
    <w:rsid w:val="000728AD"/>
    <w:rsid w:val="0007641D"/>
    <w:rsid w:val="000774AE"/>
    <w:rsid w:val="0008072A"/>
    <w:rsid w:val="000A366D"/>
    <w:rsid w:val="000A68F5"/>
    <w:rsid w:val="000A714C"/>
    <w:rsid w:val="000C5852"/>
    <w:rsid w:val="000D11E4"/>
    <w:rsid w:val="000F33A8"/>
    <w:rsid w:val="001045B0"/>
    <w:rsid w:val="00114840"/>
    <w:rsid w:val="00132606"/>
    <w:rsid w:val="001544FC"/>
    <w:rsid w:val="00156AAD"/>
    <w:rsid w:val="0017003C"/>
    <w:rsid w:val="001701CB"/>
    <w:rsid w:val="00184A0F"/>
    <w:rsid w:val="001920A1"/>
    <w:rsid w:val="001B45B9"/>
    <w:rsid w:val="001C4CB8"/>
    <w:rsid w:val="001E02E1"/>
    <w:rsid w:val="001E1B3F"/>
    <w:rsid w:val="0021179B"/>
    <w:rsid w:val="002159E1"/>
    <w:rsid w:val="00221A1A"/>
    <w:rsid w:val="00224119"/>
    <w:rsid w:val="0022515B"/>
    <w:rsid w:val="00225606"/>
    <w:rsid w:val="00225B61"/>
    <w:rsid w:val="00234C3C"/>
    <w:rsid w:val="00236070"/>
    <w:rsid w:val="002366E0"/>
    <w:rsid w:val="00242227"/>
    <w:rsid w:val="00244177"/>
    <w:rsid w:val="0027200B"/>
    <w:rsid w:val="00281978"/>
    <w:rsid w:val="00294483"/>
    <w:rsid w:val="002A0C80"/>
    <w:rsid w:val="002B3260"/>
    <w:rsid w:val="002C0E75"/>
    <w:rsid w:val="002C1E04"/>
    <w:rsid w:val="002D45C1"/>
    <w:rsid w:val="002D74BD"/>
    <w:rsid w:val="002E0D67"/>
    <w:rsid w:val="002E3F8D"/>
    <w:rsid w:val="00304B26"/>
    <w:rsid w:val="003175B0"/>
    <w:rsid w:val="003301F8"/>
    <w:rsid w:val="00330AF1"/>
    <w:rsid w:val="00331B29"/>
    <w:rsid w:val="00332B39"/>
    <w:rsid w:val="00333F9B"/>
    <w:rsid w:val="003958CE"/>
    <w:rsid w:val="003A5468"/>
    <w:rsid w:val="003B6F77"/>
    <w:rsid w:val="003C247D"/>
    <w:rsid w:val="003D1721"/>
    <w:rsid w:val="003E03C8"/>
    <w:rsid w:val="00403130"/>
    <w:rsid w:val="00410853"/>
    <w:rsid w:val="00415DA6"/>
    <w:rsid w:val="00427325"/>
    <w:rsid w:val="0045503B"/>
    <w:rsid w:val="00475155"/>
    <w:rsid w:val="00482CA2"/>
    <w:rsid w:val="004A5C64"/>
    <w:rsid w:val="004C1B1B"/>
    <w:rsid w:val="004D2599"/>
    <w:rsid w:val="004D5A74"/>
    <w:rsid w:val="004E2D37"/>
    <w:rsid w:val="004E5EE8"/>
    <w:rsid w:val="0050761A"/>
    <w:rsid w:val="00532111"/>
    <w:rsid w:val="00533F67"/>
    <w:rsid w:val="00544FD1"/>
    <w:rsid w:val="00546503"/>
    <w:rsid w:val="005470E1"/>
    <w:rsid w:val="005546C7"/>
    <w:rsid w:val="005700B9"/>
    <w:rsid w:val="00573402"/>
    <w:rsid w:val="00574323"/>
    <w:rsid w:val="00575C42"/>
    <w:rsid w:val="00576D8B"/>
    <w:rsid w:val="00587288"/>
    <w:rsid w:val="005A1A61"/>
    <w:rsid w:val="005B2941"/>
    <w:rsid w:val="005B4177"/>
    <w:rsid w:val="005C6998"/>
    <w:rsid w:val="005E0FDE"/>
    <w:rsid w:val="005F2AE8"/>
    <w:rsid w:val="00614654"/>
    <w:rsid w:val="00631AD9"/>
    <w:rsid w:val="006520D5"/>
    <w:rsid w:val="00655643"/>
    <w:rsid w:val="0066218D"/>
    <w:rsid w:val="00662B09"/>
    <w:rsid w:val="0068336A"/>
    <w:rsid w:val="006A0383"/>
    <w:rsid w:val="006A3B63"/>
    <w:rsid w:val="006C49FE"/>
    <w:rsid w:val="006C78CE"/>
    <w:rsid w:val="006E1BC6"/>
    <w:rsid w:val="0072041E"/>
    <w:rsid w:val="00722EBC"/>
    <w:rsid w:val="00751AF4"/>
    <w:rsid w:val="00776EB8"/>
    <w:rsid w:val="00783D73"/>
    <w:rsid w:val="007B35DB"/>
    <w:rsid w:val="007C4D70"/>
    <w:rsid w:val="00801EB2"/>
    <w:rsid w:val="00807DB8"/>
    <w:rsid w:val="00865B33"/>
    <w:rsid w:val="00873E1E"/>
    <w:rsid w:val="00876BB0"/>
    <w:rsid w:val="00876E3F"/>
    <w:rsid w:val="00883AAF"/>
    <w:rsid w:val="00895D02"/>
    <w:rsid w:val="008A24FE"/>
    <w:rsid w:val="008A584A"/>
    <w:rsid w:val="008C7572"/>
    <w:rsid w:val="008D42C2"/>
    <w:rsid w:val="008D4C34"/>
    <w:rsid w:val="008D560A"/>
    <w:rsid w:val="008F2DDD"/>
    <w:rsid w:val="008F67FB"/>
    <w:rsid w:val="008F6DFC"/>
    <w:rsid w:val="00910162"/>
    <w:rsid w:val="00912ED6"/>
    <w:rsid w:val="00926929"/>
    <w:rsid w:val="009417F7"/>
    <w:rsid w:val="00943298"/>
    <w:rsid w:val="0096126D"/>
    <w:rsid w:val="00994301"/>
    <w:rsid w:val="009A58D0"/>
    <w:rsid w:val="009A68C7"/>
    <w:rsid w:val="009B36B3"/>
    <w:rsid w:val="009B6BED"/>
    <w:rsid w:val="009C5723"/>
    <w:rsid w:val="009C6CFC"/>
    <w:rsid w:val="009C7FD5"/>
    <w:rsid w:val="009D2C55"/>
    <w:rsid w:val="009D745C"/>
    <w:rsid w:val="009E2D3F"/>
    <w:rsid w:val="009E2DFD"/>
    <w:rsid w:val="009F609C"/>
    <w:rsid w:val="00A00FA9"/>
    <w:rsid w:val="00A2390D"/>
    <w:rsid w:val="00A45498"/>
    <w:rsid w:val="00A454E6"/>
    <w:rsid w:val="00A51464"/>
    <w:rsid w:val="00A51DFB"/>
    <w:rsid w:val="00A60AA0"/>
    <w:rsid w:val="00A67B11"/>
    <w:rsid w:val="00A87906"/>
    <w:rsid w:val="00A957A0"/>
    <w:rsid w:val="00AA6A78"/>
    <w:rsid w:val="00AB01BF"/>
    <w:rsid w:val="00AB6203"/>
    <w:rsid w:val="00AD5EE4"/>
    <w:rsid w:val="00AF4E64"/>
    <w:rsid w:val="00B02854"/>
    <w:rsid w:val="00B12791"/>
    <w:rsid w:val="00B475C7"/>
    <w:rsid w:val="00B625B2"/>
    <w:rsid w:val="00BB4295"/>
    <w:rsid w:val="00BD6B23"/>
    <w:rsid w:val="00BE6AC2"/>
    <w:rsid w:val="00BF21E3"/>
    <w:rsid w:val="00C11DCA"/>
    <w:rsid w:val="00C317A3"/>
    <w:rsid w:val="00C44FFA"/>
    <w:rsid w:val="00C454EA"/>
    <w:rsid w:val="00C51F0D"/>
    <w:rsid w:val="00C549EE"/>
    <w:rsid w:val="00C5670A"/>
    <w:rsid w:val="00C7160E"/>
    <w:rsid w:val="00C93BDF"/>
    <w:rsid w:val="00CA27A7"/>
    <w:rsid w:val="00CB07C4"/>
    <w:rsid w:val="00CB1A13"/>
    <w:rsid w:val="00CB1F7F"/>
    <w:rsid w:val="00CB2BFA"/>
    <w:rsid w:val="00CC64EB"/>
    <w:rsid w:val="00CC7096"/>
    <w:rsid w:val="00CC7180"/>
    <w:rsid w:val="00CD140A"/>
    <w:rsid w:val="00CD54B4"/>
    <w:rsid w:val="00CD59D3"/>
    <w:rsid w:val="00D02210"/>
    <w:rsid w:val="00D20E72"/>
    <w:rsid w:val="00D24F16"/>
    <w:rsid w:val="00D67C25"/>
    <w:rsid w:val="00D67E2E"/>
    <w:rsid w:val="00D80786"/>
    <w:rsid w:val="00DB7B38"/>
    <w:rsid w:val="00DC2FBF"/>
    <w:rsid w:val="00DD4286"/>
    <w:rsid w:val="00DF122E"/>
    <w:rsid w:val="00DF7C6E"/>
    <w:rsid w:val="00E07431"/>
    <w:rsid w:val="00E26D2D"/>
    <w:rsid w:val="00E3533C"/>
    <w:rsid w:val="00E3547C"/>
    <w:rsid w:val="00E5687A"/>
    <w:rsid w:val="00E60C5A"/>
    <w:rsid w:val="00E761C3"/>
    <w:rsid w:val="00E847E3"/>
    <w:rsid w:val="00E90B1D"/>
    <w:rsid w:val="00E93086"/>
    <w:rsid w:val="00EA61A2"/>
    <w:rsid w:val="00EB3118"/>
    <w:rsid w:val="00EC5ADA"/>
    <w:rsid w:val="00ED0DEF"/>
    <w:rsid w:val="00EE3824"/>
    <w:rsid w:val="00EE4EEB"/>
    <w:rsid w:val="00EE6946"/>
    <w:rsid w:val="00EF7943"/>
    <w:rsid w:val="00F44208"/>
    <w:rsid w:val="00F6188C"/>
    <w:rsid w:val="00F854A2"/>
    <w:rsid w:val="00F913C8"/>
    <w:rsid w:val="00F95275"/>
    <w:rsid w:val="00F95F8A"/>
    <w:rsid w:val="00F97339"/>
    <w:rsid w:val="00FA062A"/>
    <w:rsid w:val="00FA7081"/>
    <w:rsid w:val="00FB3AB7"/>
    <w:rsid w:val="00FB6BB7"/>
    <w:rsid w:val="00FC1154"/>
    <w:rsid w:val="00FC503E"/>
    <w:rsid w:val="00FD643A"/>
    <w:rsid w:val="00FE4833"/>
    <w:rsid w:val="6F7425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jc w:val="both"/>
    </w:pPr>
    <w:rPr>
      <w:rFonts w:ascii="Times New Roman" w:hAnsi="Times New Roman" w:eastAsiaTheme="minorHAnsi" w:cstheme="minorBidi"/>
      <w:kern w:val="2"/>
      <w:sz w:val="28"/>
      <w:szCs w:val="22"/>
      <w:lang w:val="en-US"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20"/>
    <w:semiHidden/>
    <w:unhideWhenUsed/>
    <w:qFormat/>
    <w:uiPriority w:val="99"/>
    <w:pPr>
      <w:spacing w:after="0" w:line="240" w:lineRule="auto"/>
    </w:pPr>
    <w:rPr>
      <w:rFonts w:ascii="Segoe UI" w:hAnsi="Segoe UI" w:cs="Segoe UI"/>
      <w:sz w:val="18"/>
      <w:szCs w:val="18"/>
    </w:rPr>
  </w:style>
  <w:style w:type="paragraph" w:styleId="5">
    <w:name w:val="Body Text"/>
    <w:basedOn w:val="1"/>
    <w:link w:val="15"/>
    <w:qFormat/>
    <w:uiPriority w:val="0"/>
    <w:pPr>
      <w:widowControl w:val="0"/>
      <w:shd w:val="clear" w:color="auto" w:fill="FFFFFF"/>
      <w:spacing w:after="0" w:line="264" w:lineRule="auto"/>
      <w:ind w:firstLine="400"/>
      <w:jc w:val="left"/>
    </w:pPr>
    <w:rPr>
      <w:rFonts w:eastAsia="Times New Roman" w:cs="Times New Roman"/>
      <w:i/>
      <w:iCs/>
      <w:kern w:val="0"/>
      <w:szCs w:val="28"/>
      <w14:ligatures w14:val="none"/>
    </w:rPr>
  </w:style>
  <w:style w:type="character" w:styleId="6">
    <w:name w:val="annotation reference"/>
    <w:basedOn w:val="2"/>
    <w:semiHidden/>
    <w:unhideWhenUsed/>
    <w:qFormat/>
    <w:uiPriority w:val="99"/>
    <w:rPr>
      <w:sz w:val="16"/>
      <w:szCs w:val="16"/>
    </w:rPr>
  </w:style>
  <w:style w:type="paragraph" w:styleId="7">
    <w:name w:val="annotation text"/>
    <w:basedOn w:val="1"/>
    <w:link w:val="18"/>
    <w:semiHidden/>
    <w:unhideWhenUsed/>
    <w:qFormat/>
    <w:uiPriority w:val="99"/>
    <w:pPr>
      <w:spacing w:line="240" w:lineRule="auto"/>
    </w:pPr>
    <w:rPr>
      <w:sz w:val="20"/>
      <w:szCs w:val="20"/>
    </w:rPr>
  </w:style>
  <w:style w:type="paragraph" w:styleId="8">
    <w:name w:val="annotation subject"/>
    <w:basedOn w:val="7"/>
    <w:next w:val="7"/>
    <w:link w:val="19"/>
    <w:semiHidden/>
    <w:unhideWhenUsed/>
    <w:qFormat/>
    <w:uiPriority w:val="99"/>
    <w:rPr>
      <w:b/>
      <w:bCs/>
    </w:rPr>
  </w:style>
  <w:style w:type="paragraph" w:styleId="9">
    <w:name w:val="footer"/>
    <w:basedOn w:val="1"/>
    <w:link w:val="14"/>
    <w:unhideWhenUsed/>
    <w:uiPriority w:val="99"/>
    <w:pPr>
      <w:tabs>
        <w:tab w:val="center" w:pos="4680"/>
        <w:tab w:val="right" w:pos="9360"/>
      </w:tabs>
      <w:spacing w:after="0" w:line="240" w:lineRule="auto"/>
    </w:pPr>
  </w:style>
  <w:style w:type="paragraph" w:styleId="10">
    <w:name w:val="header"/>
    <w:basedOn w:val="1"/>
    <w:link w:val="17"/>
    <w:unhideWhenUsed/>
    <w:qFormat/>
    <w:uiPriority w:val="99"/>
    <w:pPr>
      <w:tabs>
        <w:tab w:val="center" w:pos="4680"/>
        <w:tab w:val="right" w:pos="9360"/>
      </w:tabs>
      <w:spacing w:after="0" w:line="240" w:lineRule="auto"/>
    </w:pPr>
  </w:style>
  <w:style w:type="character" w:styleId="11">
    <w:name w:val="Hyperlink"/>
    <w:basedOn w:val="2"/>
    <w:semiHidden/>
    <w:unhideWhenUsed/>
    <w:qFormat/>
    <w:uiPriority w:val="99"/>
    <w:rPr>
      <w:color w:val="0000FF"/>
      <w:u w:val="single"/>
    </w:rPr>
  </w:style>
  <w:style w:type="character" w:styleId="12">
    <w:name w:val="page number"/>
    <w:basedOn w:val="2"/>
    <w:qFormat/>
    <w:uiPriority w:val="0"/>
  </w:style>
  <w:style w:type="character" w:styleId="13">
    <w:name w:val="Strong"/>
    <w:basedOn w:val="2"/>
    <w:qFormat/>
    <w:uiPriority w:val="22"/>
    <w:rPr>
      <w:b/>
      <w:bCs/>
    </w:rPr>
  </w:style>
  <w:style w:type="character" w:customStyle="1" w:styleId="14">
    <w:name w:val="Footer Char"/>
    <w:basedOn w:val="2"/>
    <w:link w:val="9"/>
    <w:qFormat/>
    <w:uiPriority w:val="99"/>
    <w:rPr>
      <w:kern w:val="2"/>
      <w14:ligatures w14:val="standardContextual"/>
    </w:rPr>
  </w:style>
  <w:style w:type="character" w:customStyle="1" w:styleId="15">
    <w:name w:val="Body Text Char"/>
    <w:basedOn w:val="2"/>
    <w:link w:val="5"/>
    <w:qFormat/>
    <w:uiPriority w:val="0"/>
    <w:rPr>
      <w:rFonts w:eastAsia="Times New Roman" w:cs="Times New Roman"/>
      <w:i/>
      <w:iCs/>
      <w:szCs w:val="28"/>
      <w:shd w:val="clear" w:color="auto" w:fill="FFFFFF"/>
    </w:rPr>
  </w:style>
  <w:style w:type="character" w:customStyle="1" w:styleId="16">
    <w:name w:val="Body Text Char1"/>
    <w:basedOn w:val="2"/>
    <w:semiHidden/>
    <w:qFormat/>
    <w:uiPriority w:val="99"/>
    <w:rPr>
      <w:kern w:val="2"/>
      <w14:ligatures w14:val="standardContextual"/>
    </w:rPr>
  </w:style>
  <w:style w:type="character" w:customStyle="1" w:styleId="17">
    <w:name w:val="Header Char"/>
    <w:basedOn w:val="2"/>
    <w:link w:val="10"/>
    <w:qFormat/>
    <w:uiPriority w:val="99"/>
    <w:rPr>
      <w:kern w:val="2"/>
      <w14:ligatures w14:val="standardContextual"/>
    </w:rPr>
  </w:style>
  <w:style w:type="character" w:customStyle="1" w:styleId="18">
    <w:name w:val="Comment Text Char"/>
    <w:basedOn w:val="2"/>
    <w:link w:val="7"/>
    <w:semiHidden/>
    <w:qFormat/>
    <w:uiPriority w:val="99"/>
    <w:rPr>
      <w:kern w:val="2"/>
      <w:sz w:val="20"/>
      <w:szCs w:val="20"/>
      <w14:ligatures w14:val="standardContextual"/>
    </w:rPr>
  </w:style>
  <w:style w:type="character" w:customStyle="1" w:styleId="19">
    <w:name w:val="Comment Subject Char"/>
    <w:basedOn w:val="18"/>
    <w:link w:val="8"/>
    <w:semiHidden/>
    <w:qFormat/>
    <w:uiPriority w:val="99"/>
    <w:rPr>
      <w:b/>
      <w:bCs/>
      <w:kern w:val="2"/>
      <w:sz w:val="20"/>
      <w:szCs w:val="20"/>
      <w14:ligatures w14:val="standardContextual"/>
    </w:rPr>
  </w:style>
  <w:style w:type="character" w:customStyle="1" w:styleId="20">
    <w:name w:val="Balloon Text Char"/>
    <w:basedOn w:val="2"/>
    <w:link w:val="4"/>
    <w:semiHidden/>
    <w:uiPriority w:val="99"/>
    <w:rPr>
      <w:rFonts w:ascii="Segoe UI" w:hAnsi="Segoe UI" w:cs="Segoe UI"/>
      <w:kern w:val="2"/>
      <w:sz w:val="18"/>
      <w:szCs w:val="18"/>
      <w14:ligatures w14:val="standardContextual"/>
    </w:rPr>
  </w:style>
  <w:style w:type="paragraph" w:customStyle="1" w:styleId="21">
    <w:name w:val="Revision"/>
    <w:hidden/>
    <w:semiHidden/>
    <w:qFormat/>
    <w:uiPriority w:val="99"/>
    <w:pPr>
      <w:spacing w:after="0" w:line="240" w:lineRule="auto"/>
    </w:pPr>
    <w:rPr>
      <w:rFonts w:ascii="Times New Roman" w:hAnsi="Times New Roman" w:eastAsiaTheme="minorHAnsi" w:cstheme="minorBidi"/>
      <w:kern w:val="2"/>
      <w:sz w:val="28"/>
      <w:szCs w:val="22"/>
      <w:lang w:val="en-US" w:eastAsia="en-US" w:bidi="ar-SA"/>
      <w14:ligatures w14:val="standardContextual"/>
    </w:rPr>
  </w:style>
  <w:style w:type="character" w:customStyle="1" w:styleId="22">
    <w:name w:val="fontstyle01"/>
    <w:basedOn w:val="2"/>
    <w:qFormat/>
    <w:uiPriority w:val="0"/>
    <w:rPr>
      <w:rFonts w:hint="default" w:ascii="Times New Roman" w:hAnsi="Times New Roman" w:cs="Times New Roman"/>
      <w:color w:val="000000"/>
      <w:sz w:val="28"/>
      <w:szCs w:val="28"/>
    </w:rPr>
  </w:style>
  <w:style w:type="character" w:customStyle="1" w:styleId="23">
    <w:name w:val="text"/>
    <w:basedOn w:val="2"/>
    <w:qFormat/>
    <w:uiPriority w:val="0"/>
  </w:style>
  <w:style w:type="character" w:customStyle="1" w:styleId="24">
    <w:name w:val="card-send-time__sendtime"/>
    <w:basedOn w:val="2"/>
    <w:qFormat/>
    <w:uiPriority w:val="0"/>
  </w:style>
  <w:style w:type="character" w:customStyle="1" w:styleId="25">
    <w:name w:val="emoji-sizer"/>
    <w:basedOn w:val="2"/>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EDC921-99DA-40FF-9680-51B1321E824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1302</Words>
  <Characters>4657</Characters>
  <Lines>42</Lines>
  <Paragraphs>12</Paragraphs>
  <TotalTime>110</TotalTime>
  <ScaleCrop>false</ScaleCrop>
  <LinksUpToDate>false</LinksUpToDate>
  <CharactersWithSpaces>5957</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2026-10-15T09:30:00Z</dcterms:created>
  <dc:creator>Admin</dc:creator>
  <cp:lastModifiedBy>user</cp:lastModifiedBy>
  <cp:lastPrinted>2026-10-03T03:14:00Z</cp:lastPrinted>
  <dcterms:modified xsi:type="dcterms:W3CDTF">2026-10-19T09:38:43Z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71CD0DC8D8DA4CA090AFF8D566A109B0_13</vt:lpwstr>
  </property>
</Properties>
</file>