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9356" w:type="dxa"/>
        <w:tblCellSpacing w:w="0" w:type="dxa"/>
        <w:tblInd w:w="-147" w:type="dxa"/>
        <w:shd w:val="clear" w:color="auto" w:fill="FFFFFF"/>
        <w:tblLayout w:type="autofit"/>
        <w:tblCellMar>
          <w:top w:w="0" w:type="dxa"/>
          <w:left w:w="0" w:type="dxa"/>
          <w:bottom w:w="0" w:type="dxa"/>
          <w:right w:w="0" w:type="dxa"/>
        </w:tblCellMar>
      </w:tblPr>
      <w:tblGrid>
        <w:gridCol w:w="3261"/>
        <w:gridCol w:w="6095"/>
      </w:tblGrid>
      <w:tr w14:paraId="28E446EB">
        <w:tblPrEx>
          <w:shd w:val="clear" w:color="auto" w:fill="FFFFFF"/>
          <w:tblCellMar>
            <w:top w:w="0" w:type="dxa"/>
            <w:left w:w="0" w:type="dxa"/>
            <w:bottom w:w="0" w:type="dxa"/>
            <w:right w:w="0" w:type="dxa"/>
          </w:tblCellMar>
        </w:tblPrEx>
        <w:trPr>
          <w:trHeight w:val="533" w:hRule="atLeast"/>
          <w:tblCellSpacing w:w="0" w:type="dxa"/>
        </w:trPr>
        <w:tc>
          <w:tcPr>
            <w:tcW w:w="3261" w:type="dxa"/>
            <w:shd w:val="clear" w:color="auto" w:fill="FFFFFF"/>
            <w:tcMar>
              <w:top w:w="0" w:type="dxa"/>
              <w:left w:w="108" w:type="dxa"/>
              <w:bottom w:w="0" w:type="dxa"/>
              <w:right w:w="108" w:type="dxa"/>
            </w:tcMar>
          </w:tcPr>
          <w:p w14:paraId="7EBBAC82">
            <w:pPr>
              <w:jc w:val="center"/>
              <w:rPr>
                <w:b/>
                <w:color w:val="000000"/>
                <w:sz w:val="26"/>
                <w:szCs w:val="26"/>
              </w:rPr>
            </w:pPr>
            <w:bookmarkStart w:id="4" w:name="_GoBack"/>
            <w:bookmarkEnd w:id="4"/>
            <w:r>
              <w:rPr>
                <w:b/>
                <w:color w:val="000000"/>
                <w:sz w:val="26"/>
                <w:szCs w:val="26"/>
              </w:rPr>
              <mc:AlternateContent>
                <mc:Choice Requires="wps">
                  <w:drawing>
                    <wp:anchor distT="0" distB="0" distL="114300" distR="114300" simplePos="0" relativeHeight="251660288" behindDoc="0" locked="0" layoutInCell="1" allowOverlap="1">
                      <wp:simplePos x="0" y="0"/>
                      <wp:positionH relativeFrom="column">
                        <wp:align>center</wp:align>
                      </wp:positionH>
                      <wp:positionV relativeFrom="paragraph">
                        <wp:posOffset>397510</wp:posOffset>
                      </wp:positionV>
                      <wp:extent cx="590550" cy="0"/>
                      <wp:effectExtent l="0" t="0" r="0" b="0"/>
                      <wp:wrapNone/>
                      <wp:docPr id="303020554" name="Straight Connector 5"/>
                      <wp:cNvGraphicFramePr/>
                      <a:graphic xmlns:a="http://schemas.openxmlformats.org/drawingml/2006/main">
                        <a:graphicData uri="http://schemas.microsoft.com/office/word/2010/wordprocessingShape">
                          <wps:wsp>
                            <wps:cNvCnPr/>
                            <wps:spPr>
                              <a:xfrm>
                                <a:off x="0" y="0"/>
                                <a:ext cx="590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5" o:spid="_x0000_s1026" o:spt="20" style="position:absolute;left:0pt;margin-top:31.3pt;height:0pt;width:46.5pt;mso-position-horizontal:center;z-index:251660288;mso-width-relative:page;mso-height-relative:page;" filled="f" stroked="t" coordsize="21600,21600" o:gfxdata="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bYGxMtIAAAAFAQAADwAAAAAAAAABACAAAAAi&#10;AAAAZHJzL2Rvd25yZXYueG1sUEsBAhQAFAAAAAgAh07iQBqElrrXAQAAuwMAAA4AAAAAAAAAAQAg&#10;AAAAIQEAAGRycy9lMm9Eb2MueG1sUEsFBgAAAAAGAAYAWQEAAGoFAAAAAA==&#10;">
                      <v:fill on="f" focussize="0,0"/>
                      <v:stroke weight="0.5pt" color="#000000 [3200]" miterlimit="8" joinstyle="miter"/>
                      <v:imagedata o:title=""/>
                      <o:lock v:ext="edit" aspectratio="f"/>
                    </v:line>
                  </w:pict>
                </mc:Fallback>
              </mc:AlternateContent>
            </w:r>
            <w:r>
              <w:rPr>
                <w:b/>
                <w:color w:val="000000"/>
                <w:sz w:val="26"/>
                <w:szCs w:val="26"/>
              </w:rPr>
              <w:t>ỦY BAN NHÂN DÂN</w:t>
            </w:r>
            <w:r>
              <w:rPr>
                <w:b/>
                <w:color w:val="000000"/>
                <w:sz w:val="26"/>
                <w:szCs w:val="26"/>
              </w:rPr>
              <w:br w:type="textWrapping"/>
            </w:r>
            <w:r>
              <w:rPr>
                <w:b/>
                <w:color w:val="000000"/>
                <w:sz w:val="26"/>
                <w:szCs w:val="26"/>
              </w:rPr>
              <w:t>TỈNH HÀ TĨNH</w:t>
            </w:r>
          </w:p>
        </w:tc>
        <w:tc>
          <w:tcPr>
            <w:tcW w:w="6095" w:type="dxa"/>
            <w:shd w:val="clear" w:color="auto" w:fill="FFFFFF"/>
            <w:tcMar>
              <w:top w:w="0" w:type="dxa"/>
              <w:left w:w="108" w:type="dxa"/>
              <w:bottom w:w="0" w:type="dxa"/>
              <w:right w:w="108" w:type="dxa"/>
            </w:tcMar>
          </w:tcPr>
          <w:p w14:paraId="00D5E5FA">
            <w:pPr>
              <w:spacing w:after="240"/>
              <w:jc w:val="center"/>
              <w:rPr>
                <w:color w:val="000000"/>
                <w:sz w:val="26"/>
                <w:szCs w:val="26"/>
              </w:rPr>
            </w:pPr>
            <w:r>
              <w:rPr>
                <w:b/>
                <w:bCs/>
                <w:color w:val="000000"/>
                <w:sz w:val="26"/>
                <w:szCs w:val="26"/>
                <w:lang w:val="vi-VN"/>
              </w:rPr>
              <mc:AlternateContent>
                <mc:Choice Requires="wps">
                  <w:drawing>
                    <wp:anchor distT="0" distB="0" distL="114300" distR="114300" simplePos="0" relativeHeight="251661312" behindDoc="0" locked="0" layoutInCell="1" allowOverlap="1">
                      <wp:simplePos x="0" y="0"/>
                      <wp:positionH relativeFrom="column">
                        <wp:align>center</wp:align>
                      </wp:positionH>
                      <wp:positionV relativeFrom="paragraph">
                        <wp:posOffset>403860</wp:posOffset>
                      </wp:positionV>
                      <wp:extent cx="2165350" cy="0"/>
                      <wp:effectExtent l="0" t="0" r="0" b="0"/>
                      <wp:wrapNone/>
                      <wp:docPr id="88243613" name="Straight Connector 6"/>
                      <wp:cNvGraphicFramePr/>
                      <a:graphic xmlns:a="http://schemas.openxmlformats.org/drawingml/2006/main">
                        <a:graphicData uri="http://schemas.microsoft.com/office/word/2010/wordprocessingShape">
                          <wps:wsp>
                            <wps:cNvCnPr/>
                            <wps:spPr>
                              <a:xfrm>
                                <a:off x="0" y="0"/>
                                <a:ext cx="2165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6" o:spid="_x0000_s1026" o:spt="20" style="position:absolute;left:0pt;margin-top:31.8pt;height:0pt;width:170.5pt;mso-position-horizontal:center;z-index:251661312;mso-width-relative:page;mso-height-relative:page;" filled="f" stroked="t" coordsize="21600,21600" o:gfxdata="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CfbvjnTAAAABgEAAA8AAAAAAAAAAQAgAAAA&#10;IgAAAGRycy9kb3ducmV2LnhtbFBLAQIUABQAAAAIAIdO4kCosKwB1wEAALsDAAAOAAAAAAAAAAEA&#10;IAAAACIBAABkcnMvZTJvRG9jLnhtbFBLBQYAAAAABgAGAFkBAABrBQAAAAA=&#10;">
                      <v:fill on="f" focussize="0,0"/>
                      <v:stroke weight="0.5pt" color="#000000 [3200]" miterlimit="8" joinstyle="miter"/>
                      <v:imagedata o:title=""/>
                      <o:lock v:ext="edit" aspectratio="f"/>
                    </v:line>
                  </w:pict>
                </mc:Fallback>
              </mc:AlternateContent>
            </w:r>
            <w:r>
              <w:rPr>
                <w:b/>
                <w:bCs/>
                <w:color w:val="000000"/>
                <w:sz w:val="26"/>
                <w:szCs w:val="26"/>
                <w:lang w:val="vi-VN"/>
              </w:rPr>
              <w:t>CỘNG HÒA XÃ HỘI CHỦ NGHĨA VIỆT NAM</w:t>
            </w:r>
            <w:r>
              <w:rPr>
                <w:b/>
                <w:bCs/>
                <w:color w:val="000000"/>
                <w:sz w:val="26"/>
                <w:szCs w:val="26"/>
              </w:rPr>
              <w:br w:type="textWrapping"/>
            </w:r>
            <w:r>
              <w:rPr>
                <w:b/>
                <w:bCs/>
                <w:color w:val="000000"/>
                <w:lang w:val="vi-VN"/>
              </w:rPr>
              <w:t>Độc lập - Tự do - Hạnh phúc</w:t>
            </w:r>
          </w:p>
        </w:tc>
      </w:tr>
      <w:tr w14:paraId="5A3E691E">
        <w:tblPrEx>
          <w:shd w:val="clear" w:color="auto" w:fill="FFFFFF"/>
          <w:tblCellMar>
            <w:top w:w="0" w:type="dxa"/>
            <w:left w:w="0" w:type="dxa"/>
            <w:bottom w:w="0" w:type="dxa"/>
            <w:right w:w="0" w:type="dxa"/>
          </w:tblCellMar>
        </w:tblPrEx>
        <w:trPr>
          <w:trHeight w:val="55" w:hRule="atLeast"/>
          <w:tblCellSpacing w:w="0" w:type="dxa"/>
        </w:trPr>
        <w:tc>
          <w:tcPr>
            <w:tcW w:w="3261" w:type="dxa"/>
            <w:shd w:val="clear" w:color="auto" w:fill="FFFFFF"/>
            <w:tcMar>
              <w:top w:w="0" w:type="dxa"/>
              <w:left w:w="108" w:type="dxa"/>
              <w:bottom w:w="0" w:type="dxa"/>
              <w:right w:w="108" w:type="dxa"/>
            </w:tcMar>
          </w:tcPr>
          <w:p w14:paraId="58816775">
            <w:pPr>
              <w:jc w:val="center"/>
              <w:rPr>
                <w:b/>
                <w:color w:val="000000"/>
                <w:sz w:val="26"/>
                <w:szCs w:val="26"/>
              </w:rPr>
            </w:pPr>
            <w:r>
              <w:rPr>
                <w:color w:val="000000"/>
                <w:sz w:val="26"/>
                <w:szCs w:val="26"/>
              </w:rPr>
              <w:t>Số:           /TTr-UBND</w:t>
            </w:r>
          </w:p>
        </w:tc>
        <w:tc>
          <w:tcPr>
            <w:tcW w:w="6095" w:type="dxa"/>
            <w:shd w:val="clear" w:color="auto" w:fill="FFFFFF"/>
            <w:tcMar>
              <w:top w:w="0" w:type="dxa"/>
              <w:left w:w="108" w:type="dxa"/>
              <w:bottom w:w="0" w:type="dxa"/>
              <w:right w:w="108" w:type="dxa"/>
            </w:tcMar>
          </w:tcPr>
          <w:p w14:paraId="776AE0C9">
            <w:pPr>
              <w:jc w:val="center"/>
              <w:rPr>
                <w:color w:val="000000"/>
                <w:sz w:val="26"/>
                <w:szCs w:val="26"/>
              </w:rPr>
            </w:pPr>
            <w:r>
              <w:rPr>
                <w:i/>
                <w:iCs/>
                <w:color w:val="000000"/>
                <w:sz w:val="26"/>
                <w:szCs w:val="26"/>
              </w:rPr>
              <w:t xml:space="preserve">Hà Tĩnh, </w:t>
            </w:r>
            <w:r>
              <w:rPr>
                <w:i/>
                <w:iCs/>
                <w:color w:val="000000"/>
                <w:sz w:val="26"/>
                <w:szCs w:val="26"/>
                <w:lang w:val="vi-VN"/>
              </w:rPr>
              <w:t>ngày</w:t>
            </w:r>
            <w:r>
              <w:rPr>
                <w:i/>
                <w:iCs/>
                <w:color w:val="000000"/>
                <w:sz w:val="26"/>
                <w:szCs w:val="26"/>
              </w:rPr>
              <w:t xml:space="preserve">       </w:t>
            </w:r>
            <w:r>
              <w:rPr>
                <w:i/>
                <w:iCs/>
                <w:color w:val="000000"/>
                <w:sz w:val="26"/>
                <w:szCs w:val="26"/>
                <w:lang w:val="vi-VN"/>
              </w:rPr>
              <w:t>tháng</w:t>
            </w:r>
            <w:r>
              <w:rPr>
                <w:i/>
                <w:iCs/>
                <w:color w:val="000000"/>
                <w:sz w:val="26"/>
                <w:szCs w:val="26"/>
              </w:rPr>
              <w:t xml:space="preserve">      </w:t>
            </w:r>
            <w:r>
              <w:rPr>
                <w:i/>
                <w:iCs/>
                <w:color w:val="000000"/>
                <w:sz w:val="26"/>
                <w:szCs w:val="26"/>
                <w:lang w:val="vi-VN"/>
              </w:rPr>
              <w:t xml:space="preserve"> năm 20</w:t>
            </w:r>
            <w:r>
              <w:rPr>
                <w:i/>
                <w:iCs/>
                <w:color w:val="000000"/>
                <w:sz w:val="26"/>
                <w:szCs w:val="26"/>
              </w:rPr>
              <w:t>26</w:t>
            </w:r>
          </w:p>
        </w:tc>
      </w:tr>
    </w:tbl>
    <w:p w14:paraId="27538588">
      <w:pPr>
        <w:shd w:val="clear" w:color="auto" w:fill="FFFFFF"/>
        <w:spacing w:before="120" w:after="120"/>
        <w:jc w:val="both"/>
        <w:rPr>
          <w:b/>
          <w:bCs/>
          <w:color w:val="000000"/>
        </w:rPr>
      </w:pPr>
      <w:r>
        <w:rPr>
          <w:b/>
          <w:bCs/>
          <w:color w:val="000000"/>
        </w:rPr>
        <w:t>DỰ THẢO</w:t>
      </w:r>
    </w:p>
    <w:p w14:paraId="4A367FE2">
      <w:pPr>
        <w:shd w:val="clear" w:color="auto" w:fill="FFFFFF"/>
        <w:spacing w:before="120" w:after="120"/>
        <w:jc w:val="center"/>
        <w:rPr>
          <w:rFonts w:ascii="Times New Roman Bold" w:hAnsi="Times New Roman Bold"/>
          <w:b/>
          <w:bCs/>
          <w:lang w:val="vi-VN"/>
        </w:rPr>
      </w:pPr>
      <w:r>
        <mc:AlternateContent>
          <mc:Choice Requires="wps">
            <w:drawing>
              <wp:anchor distT="0" distB="0" distL="114300" distR="114300" simplePos="0" relativeHeight="251659264" behindDoc="0" locked="0" layoutInCell="1" allowOverlap="1">
                <wp:simplePos x="0" y="0"/>
                <wp:positionH relativeFrom="column">
                  <wp:align>center</wp:align>
                </wp:positionH>
                <wp:positionV relativeFrom="paragraph">
                  <wp:posOffset>651510</wp:posOffset>
                </wp:positionV>
                <wp:extent cx="1212850" cy="0"/>
                <wp:effectExtent l="0" t="0" r="0" b="0"/>
                <wp:wrapNone/>
                <wp:docPr id="5" name="Straight Connector 5"/>
                <wp:cNvGraphicFramePr/>
                <a:graphic xmlns:a="http://schemas.openxmlformats.org/drawingml/2006/main">
                  <a:graphicData uri="http://schemas.microsoft.com/office/word/2010/wordprocessingShape">
                    <wps:wsp>
                      <wps:cNvCnPr/>
                      <wps:spPr>
                        <a:xfrm flipV="1">
                          <a:off x="0" y="0"/>
                          <a:ext cx="12128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top:51.3pt;height:0pt;width:95.5pt;mso-position-horizontal:center;z-index:251659264;mso-width-relative:page;mso-height-relative:page;" filled="f" stroked="t" coordsize="21600,21600" o:gfxdata="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XUAIC9MAAAAIAQAADwAAAAAAAAABACAA&#10;AAAiAAAAZHJzL2Rvd25yZXYueG1sUEsBAhQAFAAAAAgAh07iQILTWNjZAQAAvgMAAA4AAAAAAAAA&#10;AQAgAAAAIgEAAGRycy9lMm9Eb2MueG1sUEsFBgAAAAAGAAYAWQEAAG0FAAAAAA==&#10;">
                <v:fill on="f" focussize="0,0"/>
                <v:stroke weight="0.5pt" color="#000000 [3200]" miterlimit="8" joinstyle="miter"/>
                <v:imagedata o:title=""/>
                <o:lock v:ext="edit" aspectratio="f"/>
              </v:line>
            </w:pict>
          </mc:Fallback>
        </mc:AlternateContent>
      </w:r>
      <w:r>
        <w:rPr>
          <w:b/>
          <w:bCs/>
          <w:color w:val="000000"/>
        </w:rPr>
        <w:t>TỜ TRÌNH</w:t>
      </w:r>
      <w:r>
        <w:rPr>
          <w:color w:val="000000"/>
        </w:rPr>
        <w:br w:type="textWrapping"/>
      </w:r>
      <w:r>
        <w:rPr>
          <w:rFonts w:ascii="Times New Roman Bold" w:hAnsi="Times New Roman Bold"/>
          <w:b/>
          <w:bCs/>
        </w:rPr>
        <w:t xml:space="preserve">Dự thảo </w:t>
      </w:r>
      <w:r>
        <w:rPr>
          <w:b/>
          <w:bCs/>
        </w:rPr>
        <w:t>Nghị quyết quy định về mức thu, miễn, giảm, thu, nộp, quản lý và sử dụng các khoản phí, lệ phí trên địa bàn tỉnh Hà Tĩnh</w:t>
      </w:r>
    </w:p>
    <w:p w14:paraId="27D4D3E6">
      <w:pPr>
        <w:pStyle w:val="6"/>
        <w:spacing w:before="120"/>
        <w:ind w:left="0"/>
        <w:jc w:val="both"/>
        <w:rPr>
          <w:rFonts w:ascii="Times New Roman" w:hAnsi="Times New Roman"/>
          <w:b/>
          <w:position w:val="-2"/>
        </w:rPr>
      </w:pPr>
    </w:p>
    <w:p w14:paraId="2AD1ED62">
      <w:pPr>
        <w:pStyle w:val="6"/>
        <w:spacing w:before="120"/>
        <w:ind w:left="0"/>
        <w:jc w:val="center"/>
        <w:rPr>
          <w:rFonts w:ascii="Times New Roman" w:hAnsi="Times New Roman"/>
          <w:bCs/>
          <w:position w:val="-2"/>
          <w:lang w:val="vi-VN"/>
        </w:rPr>
      </w:pPr>
      <w:r>
        <w:rPr>
          <w:rFonts w:ascii="Times New Roman" w:hAnsi="Times New Roman"/>
          <w:bCs/>
          <w:position w:val="-2"/>
        </w:rPr>
        <w:t>Kính gửi: Hội đồng nhân dân tỉnh Hà Tĩnh</w:t>
      </w:r>
    </w:p>
    <w:p w14:paraId="528C7F60">
      <w:pPr>
        <w:spacing w:before="120" w:after="120"/>
        <w:jc w:val="both"/>
        <w:rPr>
          <w:color w:val="000000"/>
          <w:lang w:val="vi-VN"/>
        </w:rPr>
      </w:pPr>
    </w:p>
    <w:p w14:paraId="72FF573F">
      <w:pPr>
        <w:widowControl w:val="0"/>
        <w:spacing w:before="120"/>
        <w:ind w:firstLine="720"/>
        <w:jc w:val="both"/>
        <w:rPr>
          <w:lang w:val="vi-VN"/>
        </w:rPr>
      </w:pPr>
      <w:r>
        <w:rPr>
          <w:color w:val="000000"/>
          <w:lang w:val="vi-VN"/>
        </w:rPr>
        <w:t>Căn cứ Luật Ban hành văn bản quy phạm pháp luật ngày 19/02/2025; Luật sửa đổi, bổ sung một số điều của Luật Ban hành văn bản quy phạm pháp luật ngày 25/6/2025;</w:t>
      </w:r>
      <w:r>
        <w:rPr>
          <w:lang w:val="vi-VN"/>
        </w:rPr>
        <w:t xml:space="preserve"> </w:t>
      </w:r>
    </w:p>
    <w:p w14:paraId="48C2EFC4">
      <w:pPr>
        <w:widowControl w:val="0"/>
        <w:spacing w:before="120"/>
        <w:ind w:firstLine="720"/>
        <w:jc w:val="both"/>
        <w:rPr>
          <w:lang w:val="vi-VN"/>
        </w:rPr>
      </w:pPr>
      <w:r>
        <w:rPr>
          <w:lang w:val="vi-VN"/>
        </w:rPr>
        <w:t>Căn cứ Luật Phí và lệ phí ngày 25 tháng 11 năm 2015;</w:t>
      </w:r>
    </w:p>
    <w:p w14:paraId="797510FC">
      <w:pPr>
        <w:widowControl w:val="0"/>
        <w:spacing w:before="120"/>
        <w:ind w:firstLine="720"/>
        <w:jc w:val="both"/>
        <w:rPr>
          <w:lang w:val="vi-VN"/>
        </w:rPr>
      </w:pPr>
      <w:r>
        <w:rPr>
          <w:lang w:val="vi-VN"/>
        </w:rPr>
        <w:t>Căn cứ Luật Ngân sách nhà nước ngày 25 tháng 6 năm 2025;</w:t>
      </w:r>
    </w:p>
    <w:p w14:paraId="1B198B23">
      <w:pPr>
        <w:widowControl w:val="0"/>
        <w:spacing w:before="120"/>
        <w:ind w:firstLine="720"/>
        <w:jc w:val="both"/>
        <w:rPr>
          <w:lang w:val="vi-VN"/>
        </w:rPr>
      </w:pPr>
      <w:r>
        <w:rPr>
          <w:lang w:val="vi-VN"/>
        </w:rPr>
        <w:t xml:space="preserve">Căn cứ các </w:t>
      </w:r>
      <w:r>
        <w:t xml:space="preserve">Nghị định số 362/2025/NĐ-CP ngày 31/12/2025 của Chính phủ </w:t>
      </w:r>
      <w:bookmarkStart w:id="0" w:name="loai_1_name"/>
      <w:r>
        <w:t>quy định chi tiết một số điều và biện pháp để tổ chức, hướng dẫn thi hành Luật Phí và lệ phí</w:t>
      </w:r>
      <w:bookmarkEnd w:id="0"/>
      <w:r>
        <w:rPr>
          <w:lang w:val="vi-VN"/>
        </w:rPr>
        <w:t>;</w:t>
      </w:r>
    </w:p>
    <w:p w14:paraId="3DFB6D4B">
      <w:pPr>
        <w:widowControl w:val="0"/>
        <w:spacing w:before="120"/>
        <w:ind w:firstLine="720"/>
        <w:jc w:val="both"/>
      </w:pPr>
      <w:r>
        <w:rPr>
          <w:lang w:val="vi-VN"/>
        </w:rPr>
        <w:t>Căn cứ các Thông tư của Bộ trưởng Bộ Tài chính: số 85/2019/TT-BTC ngày 29/11/2019 hướng dẫn về phí và lệ phí thuộc thẩm quyền quyết định của Hội đồng nhân dân tỉnh, thành phố trực thuộc Trung ương; số 106/2021/TT-BTC ngày 26/11/2021 sửa đổi, bổ sung một số điều của Thông tư số 85/2019/TT-BTC;</w:t>
      </w:r>
    </w:p>
    <w:p w14:paraId="719CBD32">
      <w:pPr>
        <w:widowControl w:val="0"/>
        <w:spacing w:before="120"/>
        <w:ind w:firstLine="720"/>
        <w:jc w:val="both"/>
        <w:rPr>
          <w:spacing w:val="-2"/>
          <w:lang w:val="vi-VN"/>
        </w:rPr>
      </w:pPr>
      <w:r>
        <w:rPr>
          <w:spacing w:val="-2"/>
          <w:lang w:val="vi-VN"/>
        </w:rPr>
        <w:t xml:space="preserve">Theo đề nghị của Sở Tài chính tại Tờ trình số </w:t>
      </w:r>
      <w:r>
        <w:rPr>
          <w:spacing w:val="-2"/>
        </w:rPr>
        <w:t xml:space="preserve">    </w:t>
      </w:r>
      <w:r>
        <w:rPr>
          <w:spacing w:val="-2"/>
          <w:lang w:val="vi-VN"/>
        </w:rPr>
        <w:t xml:space="preserve">/TTr-STC ngày </w:t>
      </w:r>
      <w:r>
        <w:rPr>
          <w:spacing w:val="-2"/>
        </w:rPr>
        <w:t xml:space="preserve">    </w:t>
      </w:r>
      <w:r>
        <w:rPr>
          <w:spacing w:val="-2"/>
          <w:lang w:val="vi-VN"/>
        </w:rPr>
        <w:t>/</w:t>
      </w:r>
      <w:r>
        <w:rPr>
          <w:spacing w:val="-2"/>
        </w:rPr>
        <w:t>11</w:t>
      </w:r>
      <w:r>
        <w:rPr>
          <w:spacing w:val="-2"/>
          <w:lang w:val="vi-VN"/>
        </w:rPr>
        <w:t>/202</w:t>
      </w:r>
      <w:r>
        <w:rPr>
          <w:spacing w:val="-2"/>
        </w:rPr>
        <w:t>6</w:t>
      </w:r>
      <w:r>
        <w:rPr>
          <w:spacing w:val="-2"/>
          <w:lang w:val="vi-VN"/>
        </w:rPr>
        <w:t xml:space="preserve"> (kèm Báo cáo thẩm định số </w:t>
      </w:r>
      <w:r>
        <w:rPr>
          <w:spacing w:val="-2"/>
        </w:rPr>
        <w:t xml:space="preserve">    </w:t>
      </w:r>
      <w:r>
        <w:rPr>
          <w:spacing w:val="-2"/>
          <w:lang w:val="vi-VN"/>
        </w:rPr>
        <w:t xml:space="preserve">/BC-STP ngày </w:t>
      </w:r>
      <w:r>
        <w:rPr>
          <w:spacing w:val="-2"/>
        </w:rPr>
        <w:t xml:space="preserve">    </w:t>
      </w:r>
      <w:r>
        <w:rPr>
          <w:spacing w:val="-2"/>
          <w:lang w:val="vi-VN"/>
        </w:rPr>
        <w:t>/11/202</w:t>
      </w:r>
      <w:r>
        <w:rPr>
          <w:spacing w:val="-2"/>
        </w:rPr>
        <w:t>6</w:t>
      </w:r>
      <w:r>
        <w:rPr>
          <w:spacing w:val="-2"/>
          <w:lang w:val="vi-VN"/>
        </w:rPr>
        <w:t xml:space="preserve"> của Sở Tư pháp); thực hiện kết luận của UBND tỉnh tại phiên họp ngày .../.../202</w:t>
      </w:r>
      <w:r>
        <w:rPr>
          <w:spacing w:val="-2"/>
        </w:rPr>
        <w:t>6</w:t>
      </w:r>
      <w:r>
        <w:rPr>
          <w:spacing w:val="-2"/>
          <w:lang w:val="vi-VN"/>
        </w:rPr>
        <w:t xml:space="preserve"> (Thông báo số .../TB-UBND ngày .../.../202</w:t>
      </w:r>
      <w:r>
        <w:rPr>
          <w:spacing w:val="-2"/>
        </w:rPr>
        <w:t>6</w:t>
      </w:r>
      <w:r>
        <w:rPr>
          <w:spacing w:val="-2"/>
          <w:lang w:val="vi-VN"/>
        </w:rPr>
        <w:t>), kết luận của Ban Thường vụ Đảng ủy UBND tỉnh tại phiên họp ngày .../.../202</w:t>
      </w:r>
      <w:r>
        <w:rPr>
          <w:spacing w:val="-2"/>
        </w:rPr>
        <w:t>6</w:t>
      </w:r>
      <w:r>
        <w:rPr>
          <w:spacing w:val="-2"/>
          <w:lang w:val="vi-VN"/>
        </w:rPr>
        <w:t xml:space="preserve"> (Thông báo số </w:t>
      </w:r>
      <w:r>
        <w:rPr>
          <w:spacing w:val="-2"/>
        </w:rPr>
        <w:t xml:space="preserve">   </w:t>
      </w:r>
      <w:r>
        <w:rPr>
          <w:spacing w:val="-2"/>
          <w:lang w:val="vi-VN"/>
        </w:rPr>
        <w:t xml:space="preserve">-TB/ĐU ngày </w:t>
      </w:r>
      <w:r>
        <w:rPr>
          <w:spacing w:val="-2"/>
        </w:rPr>
        <w:t xml:space="preserve">   </w:t>
      </w:r>
      <w:r>
        <w:rPr>
          <w:spacing w:val="-2"/>
          <w:lang w:val="vi-VN"/>
        </w:rPr>
        <w:t>/</w:t>
      </w:r>
      <w:r>
        <w:rPr>
          <w:spacing w:val="-2"/>
        </w:rPr>
        <w:t xml:space="preserve">   </w:t>
      </w:r>
      <w:r>
        <w:rPr>
          <w:spacing w:val="-2"/>
          <w:lang w:val="vi-VN"/>
        </w:rPr>
        <w:t>/202</w:t>
      </w:r>
      <w:r>
        <w:rPr>
          <w:spacing w:val="-2"/>
        </w:rPr>
        <w:t>6</w:t>
      </w:r>
      <w:r>
        <w:rPr>
          <w:spacing w:val="-2"/>
          <w:lang w:val="vi-VN"/>
        </w:rPr>
        <w:t xml:space="preserve">), UBND tỉnh kính trình HĐND tỉnh dự thảo </w:t>
      </w:r>
      <w:r>
        <w:rPr>
          <w:i/>
          <w:iCs/>
        </w:rPr>
        <w:t>Nghị quyết quy định về mức thu, miễn, giảm, thu, nộp, quản lý và sử dụng các khoản phí, lệ phí trên địa bàn tỉnh Hà Tĩnh</w:t>
      </w:r>
      <w:r>
        <w:rPr>
          <w:spacing w:val="-2"/>
          <w:lang w:val="vi-VN"/>
        </w:rPr>
        <w:t>, với các nội dung như sau:</w:t>
      </w:r>
    </w:p>
    <w:p w14:paraId="25131709">
      <w:pPr>
        <w:shd w:val="clear" w:color="auto" w:fill="FFFFFF"/>
        <w:spacing w:before="120"/>
        <w:ind w:firstLine="720"/>
        <w:jc w:val="both"/>
        <w:rPr>
          <w:b/>
          <w:bCs/>
          <w:color w:val="000000"/>
          <w:lang w:val="vi-VN"/>
        </w:rPr>
      </w:pPr>
      <w:r>
        <w:rPr>
          <w:b/>
          <w:bCs/>
          <w:color w:val="000000"/>
          <w:lang w:val="vi-VN"/>
        </w:rPr>
        <w:t>I. SỰ CẦN THIẾT BAN HÀNH NGHỊ QUYẾT</w:t>
      </w:r>
    </w:p>
    <w:p w14:paraId="68676F16">
      <w:pPr>
        <w:spacing w:before="120"/>
        <w:ind w:firstLine="720"/>
        <w:jc w:val="both"/>
        <w:rPr>
          <w:rFonts w:eastAsia="Calibri"/>
          <w:b/>
          <w:bCs/>
          <w:color w:val="000000"/>
        </w:rPr>
      </w:pPr>
      <w:r>
        <w:t>Thực hiện Luật Phí và lệ phí, HĐND tỉnh đã ban hành Nghị quyết số 253/2020/NQ-HĐND ngày 08/12/2020 quy định về mức thu, miễn, giảm, thu, nộp, quản lý và sử dụng các khoản phí, lệ phí trên địa bàn tỉnh Hà Tĩnh. Sau 05 năm thực hiện, Nghị quyết đã được sửa đổi, bổ sung bởi 06 Nghị quyết (trong đó 02 Nghị quyết đã bị bãi bỏ). Các quy định về phí, lệ phí nằm rải rác tại nhiều văn bản; một số điểm, khoản đã bị bãi bỏ nhưng vẫn còn trong cấu trúc văn bản, gây khó khăn cho tổ chức thu và người nộp phí, lệ phí trong việc tra cứu, áp dụng.</w:t>
      </w:r>
    </w:p>
    <w:p w14:paraId="631D8F62">
      <w:pPr>
        <w:spacing w:before="120"/>
        <w:ind w:firstLine="720"/>
        <w:jc w:val="both"/>
        <w:rPr>
          <w:rFonts w:eastAsia="Calibri"/>
          <w:b/>
          <w:bCs/>
          <w:color w:val="000000"/>
        </w:rPr>
      </w:pPr>
      <w:bookmarkStart w:id="1" w:name="_Hlk214894211"/>
      <w:r>
        <w:t>Việc sắp xếp tổ chức bộ máy và tổ chức chính quyền địa phương 02 cấp từ ngày 01/7/2025 đã làm thay đổi tên gọi, chức năng của nhiều cơ quan, đơn vị tổ chức thu (Sở Tài nguyên và Môi trường, Sở Nông nghiệp và Phát triển nông thôn hợp nhất thành Sở Nông nghiệp và Môi trường; nhiệm vụ của Sở Lao động, Thương binh và Xã hội chuyển về Sở Nội vụ; nhiệm vụ của Ủy ban nhân dân cấp huyện chuyển về Ủy ban nhân dân cấp xã). Nghị quyết số 172/2025/NQ-HĐND đã cập nhật một phần, song một số nội dung chưa được đồng bộ.</w:t>
      </w:r>
    </w:p>
    <w:p w14:paraId="00128E21">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pPr>
      <w:r>
        <w:t>Mặt khác, các căn cứ ban hành Nghị quyết số 253/2020/NQ-HĐND và các Nghị quyết sửa đổi, bổ sung (Nghị định số 120/2016/NĐ-CP, Nghị định số 82/2023/NĐ-CP) đã hết hiệu lực từ ngày 01/01/2026.</w:t>
      </w:r>
    </w:p>
    <w:p w14:paraId="62E32E33">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pPr>
      <w:r>
        <w:t>Vì vậy, việc ban hành Nghị quyết quy định về mức thu, miễn, giảm, thu, nộp, quản lý và sử dụng các khoản phí, lệ phí trên địa bàn tỉnh Hà Tĩnh để thay thế Nghị quyết số 253/2020/NQ-HĐND và các Nghị quyết sửa đổi, bổ sung là cần thiết, đúng thẩm quyền.</w:t>
      </w:r>
    </w:p>
    <w:bookmarkEnd w:id="1"/>
    <w:p w14:paraId="40704CCB">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rPr>
          <w:b/>
          <w:bCs/>
          <w:color w:val="000000"/>
        </w:rPr>
      </w:pPr>
      <w:r>
        <w:rPr>
          <w:b/>
          <w:bCs/>
          <w:color w:val="000000"/>
          <w:lang w:val="nl-NL"/>
        </w:rPr>
        <w:t xml:space="preserve">II. MỤC ĐÍCH BAN HÀNH, QUAN ĐIỂM XÂY DỰNG </w:t>
      </w:r>
      <w:r>
        <w:rPr>
          <w:b/>
          <w:bCs/>
          <w:color w:val="000000"/>
          <w:lang w:val="vi-VN"/>
        </w:rPr>
        <w:t>NGHỊ QUYẾT</w:t>
      </w:r>
    </w:p>
    <w:p w14:paraId="2F3EEF4C">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rPr>
          <w:b/>
          <w:bCs/>
          <w:color w:val="000000"/>
        </w:rPr>
      </w:pPr>
      <w:r>
        <w:rPr>
          <w:b/>
          <w:lang w:val="nl-NL"/>
        </w:rPr>
        <w:t xml:space="preserve">1. Mục đích: </w:t>
      </w:r>
      <w:r>
        <w:t>Hệ thống hóa, hợp nhất các quy định về phí, lệ phí thuộc thẩm quyền của Hội đồng nhân dân tỉnh vào một Nghị quyết; cập nhật căn cứ pháp lý, tên cơ quan, đơn vị tổ chức thu phù hợp với tổ chức bộ máy hiện hành, tạo thuận lợi cho việc tra cứu, áp dụng.</w:t>
      </w:r>
    </w:p>
    <w:p w14:paraId="1C6F1180">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pPr>
      <w:r>
        <w:rPr>
          <w:b/>
          <w:lang w:val="nl-NL"/>
        </w:rPr>
        <w:t>2. Quan điểm:</w:t>
      </w:r>
      <w:r>
        <w:rPr>
          <w:lang w:val="nl-NL"/>
        </w:rPr>
        <w:t xml:space="preserve"> </w:t>
      </w:r>
      <w:r>
        <w:t>Bảo đảm đúng thẩm quyền, trình tự, thủ tục theo Luật Ban hành văn bản quy phạm pháp luật; kế thừa mức thu, đối tượng miễn, giảm, chế độ thu, nộp, quản lý và sử dụng phí, lệ phí đang thực hiện; chỉ điều chỉnh một số nội dung về đối tượng nộp phí, đơn vị tổ chức thu đảm bảo phù hợp với quy định hiện hành; không làm phát sinh nghĩa vụ tài chính mới đối với tổ chức, cá nhân và không làm thay đổi cơ chế quản lý nguồn thu.</w:t>
      </w:r>
    </w:p>
    <w:p w14:paraId="6BFF1BA3">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rPr>
          <w:b/>
          <w:bCs/>
          <w:color w:val="000000"/>
          <w:lang w:val="vi-VN"/>
        </w:rPr>
      </w:pPr>
      <w:r>
        <w:rPr>
          <w:b/>
          <w:bCs/>
          <w:lang w:val="nl-NL"/>
        </w:rPr>
        <w:t>III. QUÁ TRÌNH XÂY DỰNG DỰ THẢO NGHỊ QUYẾT</w:t>
      </w:r>
    </w:p>
    <w:p w14:paraId="34D428A3">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rPr>
          <w:lang w:val="nl-NL"/>
        </w:rPr>
      </w:pPr>
      <w:r>
        <w:rPr>
          <w:lang w:val="nl-NL"/>
        </w:rPr>
        <w:t xml:space="preserve">1. UBND tỉnh có các </w:t>
      </w:r>
      <w:r>
        <w:t>Văn bản số 6868/UBND-TH</w:t>
      </w:r>
      <w:r>
        <w:rPr>
          <w:vertAlign w:val="subscript"/>
        </w:rPr>
        <w:t>5</w:t>
      </w:r>
      <w:r>
        <w:t xml:space="preserve"> ngày 14/7/2026, số 9320/UBND-TH</w:t>
      </w:r>
      <w:r>
        <w:rPr>
          <w:vertAlign w:val="subscript"/>
        </w:rPr>
        <w:t>5</w:t>
      </w:r>
      <w:r>
        <w:t xml:space="preserve"> ngày 15/9/2026, số 10436/UBND-TH1 ngày 12/10/2026 và số 10704/UBND-TH</w:t>
      </w:r>
      <w:r>
        <w:rPr>
          <w:vertAlign w:val="subscript"/>
        </w:rPr>
        <w:t>5</w:t>
      </w:r>
      <w:r>
        <w:t xml:space="preserve"> ngày 18/10/2026 </w:t>
      </w:r>
      <w:r>
        <w:rPr>
          <w:lang w:val="nl-NL"/>
        </w:rPr>
        <w:t>giao Sở Tài chính chủ trì xây dựng dự thảo Nghị quyết.</w:t>
      </w:r>
    </w:p>
    <w:p w14:paraId="4A27C8C2">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rPr>
          <w:lang w:val="nl-NL"/>
        </w:rPr>
      </w:pPr>
      <w:r>
        <w:rPr>
          <w:lang w:val="nl-NL"/>
        </w:rPr>
        <w:t>2. Sở Tài chính xây dựng dự thảo Tờ trình và Nghị quyết; có Văn bản số    /STC-GCS ngày     /11/2026 lấy ý kiến góp ý của các đơn vị, địa phương; có Văn bản số     /STC-GCS ngày     /11/2026 gửi đăng tải dự thảo trên Cổng thông tin điện tử của tỉnh.</w:t>
      </w:r>
    </w:p>
    <w:p w14:paraId="734DA89E">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rPr>
          <w:lang w:val="nl-NL"/>
        </w:rPr>
      </w:pPr>
      <w:r>
        <w:rPr>
          <w:lang w:val="nl-NL"/>
        </w:rPr>
        <w:t>3. Sở Tài chính có Văn bản số       /STC-GCS ngày      /   /2026 gửi Sở Tư pháp thẩm định dự thảo Tờ trình và Nghị quyết (sau khi tổng hợp, tiếp thu ý kiến góp ý của các đơn vị, địa phương).</w:t>
      </w:r>
    </w:p>
    <w:p w14:paraId="054AB60E">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rPr>
          <w:lang w:val="nl-NL"/>
        </w:rPr>
      </w:pPr>
      <w:r>
        <w:rPr>
          <w:lang w:val="nl-NL"/>
        </w:rPr>
        <w:t>4. Sở Tư pháp thẩm định dự thảo Tờ trình và Nghị quyết (Báo cáo thẩm định số       /BC-STP ngày    /   /2026 của Sở Tư pháp).</w:t>
      </w:r>
    </w:p>
    <w:p w14:paraId="1E36E5EB">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rPr>
          <w:lang w:val="nl-NL"/>
        </w:rPr>
      </w:pPr>
      <w:r>
        <w:rPr>
          <w:lang w:val="nl-NL"/>
        </w:rPr>
        <w:t>5. Sở Tài chính giải trình, tiếp thu ý kiến thẩm định của Sở Tư pháp và có Tờ trình số       /TTr-STC ngày     /11/2026 gửi UBND tỉnh.</w:t>
      </w:r>
    </w:p>
    <w:p w14:paraId="3B1F3001">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rPr>
          <w:lang w:val="nl-NL"/>
        </w:rPr>
      </w:pPr>
      <w:r>
        <w:rPr>
          <w:lang w:val="nl-NL"/>
        </w:rPr>
        <w:t>6. UBND tỉnh tổ chức họp lấy ý kiến của các thành viên UBND tỉnh.</w:t>
      </w:r>
    </w:p>
    <w:p w14:paraId="368162B7">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rPr>
          <w:lang w:val="nl-NL"/>
        </w:rPr>
      </w:pPr>
      <w:r>
        <w:rPr>
          <w:lang w:val="nl-NL"/>
        </w:rPr>
        <w:t>7. Xem xét, chỉnh lý, hoàn thiện dự thảo Nghị quyết.</w:t>
      </w:r>
    </w:p>
    <w:p w14:paraId="1CB4E3D8">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rPr>
          <w:b/>
          <w:lang w:val="nl-NL"/>
        </w:rPr>
      </w:pPr>
      <w:r>
        <w:rPr>
          <w:b/>
          <w:bCs/>
          <w:lang w:val="nl-NL"/>
        </w:rPr>
        <w:t>IV.</w:t>
      </w:r>
      <w:r>
        <w:rPr>
          <w:b/>
          <w:lang w:val="nl-NL"/>
        </w:rPr>
        <w:t xml:space="preserve"> BỐ CỤC VÀ NỘI DUNG CƠ BẢN CỦA DỰ THẢO NGHỊ QUYẾT </w:t>
      </w:r>
    </w:p>
    <w:p w14:paraId="62959561">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rPr>
          <w:b/>
          <w:bCs/>
          <w:lang w:val="nl-NL"/>
        </w:rPr>
      </w:pPr>
      <w:r>
        <w:rPr>
          <w:b/>
          <w:bCs/>
          <w:lang w:val="nl-NL"/>
        </w:rPr>
        <w:t>1. Phạm vi điều chỉnh, đối tượng áp dụng</w:t>
      </w:r>
    </w:p>
    <w:p w14:paraId="1F90A81F">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rPr>
          <w:b/>
          <w:bCs/>
          <w:lang w:val="nl-NL"/>
        </w:rPr>
      </w:pPr>
      <w:r>
        <w:rPr>
          <w:b/>
          <w:lang w:val="nl-NL"/>
        </w:rPr>
        <w:t xml:space="preserve">a) Phạm vi điều chỉnh: </w:t>
      </w:r>
      <w:r>
        <w:t>Quy định về mức thu, miễn, giảm, thu, nộp, quản lý và sử dụng các khoản phí, lệ phí thuộc thẩm quyền của Hội đồng nhân dân tỉnh trên địa bàn tỉnh Hà Tĩnh, gồm 13 khoản phí và 05 khoản lệ phí</w:t>
      </w:r>
      <w:r>
        <w:rPr>
          <w:lang w:val="nl-NL"/>
        </w:rPr>
        <w:t>.</w:t>
      </w:r>
    </w:p>
    <w:p w14:paraId="0B8E66BC">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rPr>
          <w:b/>
          <w:bCs/>
          <w:lang w:val="nl-NL"/>
        </w:rPr>
      </w:pPr>
      <w:r>
        <w:rPr>
          <w:b/>
          <w:lang w:val="nl-NL"/>
        </w:rPr>
        <w:t xml:space="preserve">b) Đối tượng áp dụng: </w:t>
      </w:r>
      <w:r>
        <w:t>Cơ quan nhà nước, đơn vị sự nghiệp công lập và tổ chức, cá nhân liên quan đến thu, nộp, quản lý và sử dụng phí, lệ phí</w:t>
      </w:r>
      <w:r>
        <w:rPr>
          <w:lang w:val="nl-NL"/>
        </w:rPr>
        <w:t>.</w:t>
      </w:r>
    </w:p>
    <w:p w14:paraId="7107F9FC">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rPr>
          <w:b/>
          <w:lang w:val="nl-NL"/>
        </w:rPr>
      </w:pPr>
      <w:r>
        <w:rPr>
          <w:b/>
          <w:lang w:val="nl-NL"/>
        </w:rPr>
        <w:t>2</w:t>
      </w:r>
      <w:r>
        <w:rPr>
          <w:b/>
          <w:lang w:val="vi-VN"/>
        </w:rPr>
        <w:t xml:space="preserve">. </w:t>
      </w:r>
      <w:r>
        <w:rPr>
          <w:b/>
          <w:lang w:val="nl-NL"/>
        </w:rPr>
        <w:t xml:space="preserve">Bố cục: </w:t>
      </w:r>
      <w:r>
        <w:t>Dự thảo Nghị quyết gồm 03 Chương, 09 Điều</w:t>
      </w:r>
      <w:r>
        <w:rPr>
          <w:lang w:val="nl-NL"/>
        </w:rPr>
        <w:t>, được xây dựng theo Mẫu số 17 Phụ lục I ban hành kèm theo Nghị định số 78/2025/NĐ-CP ngày 1/4/2025 của Chính phủ.</w:t>
      </w:r>
    </w:p>
    <w:p w14:paraId="5A0E2185">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rPr>
          <w:b/>
          <w:lang w:val="nl-NL"/>
        </w:rPr>
      </w:pPr>
      <w:r>
        <w:rPr>
          <w:b/>
          <w:lang w:val="nl-NL"/>
        </w:rPr>
        <w:t>3</w:t>
      </w:r>
      <w:r>
        <w:rPr>
          <w:b/>
          <w:lang w:val="vi-VN"/>
        </w:rPr>
        <w:t xml:space="preserve">. </w:t>
      </w:r>
      <w:r>
        <w:rPr>
          <w:b/>
          <w:lang w:val="nl-NL"/>
        </w:rPr>
        <w:t>Nội dung cơ bản của dự thảo Nghị quyết</w:t>
      </w:r>
    </w:p>
    <w:p w14:paraId="6B28D796">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rPr>
          <w:lang w:val="nl-NL"/>
        </w:rPr>
      </w:pPr>
      <w:bookmarkStart w:id="2" w:name="_Hlk165992529"/>
      <w:r>
        <w:t>a) Kế thừa các quy định hiện hành về mức thu, đối tượng nộp, đối tượng miễn, giảm, tỷ lệ để lại và chế độ thu, nộp, quản lý, sử dụng của 13 khoản phí (Điều 5) và 05 khoản lệ phí (Điều 6) đang có hiệu lực theo Nghị quyết số 253/2020/NQ-HĐND và các Nghị quyết sửa đổi, bổ sung, trừ các nội dung điều chỉnh tại điểm đ khoản này.</w:t>
      </w:r>
    </w:p>
    <w:p w14:paraId="18E38164">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rPr>
          <w:lang w:val="nl-NL"/>
        </w:rPr>
      </w:pPr>
      <w:r>
        <w:t>b) Cập nhật căn cứ ban hành; tên cơ quan, đơn vị tổ chức thu, tên đơn vị hành chính theo tổ chức bộ máy hiện hành; sắp xếp lại số thứ tự các điểm, khoản.</w:t>
      </w:r>
    </w:p>
    <w:p w14:paraId="6AE7A262">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rPr>
          <w:lang w:val="nl-NL"/>
        </w:rPr>
      </w:pPr>
      <w:r>
        <w:t>c) Không quy định lại các khoản phí, lệ phí đã bị bãi bỏ (phí sử dụng công trình kết cấu hạ tầng trong khu vực Cửa khẩu quốc tế Cầu Treo; phí thẩm định đề án xả nước thải vào nguồn nước, công trình thủy lợi; lệ phí đăng ký cư trú; lệ phí cấp chứng minh nhân dân) và các nội dung đã bị bãi bỏ tại các Nghị quyết sửa đổi, bổ sung.</w:t>
      </w:r>
    </w:p>
    <w:p w14:paraId="534D6743">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rPr>
          <w:lang w:val="nl-NL"/>
        </w:rPr>
      </w:pPr>
      <w:r>
        <w:t>d) Nghị quyết thay thế Nghị quyết số 253/2020/NQ-HĐND và các Nghị quyết của Hội đồng nhân dân tỉnh: số 14/2021/NQ-HĐND ngày 17/7/2021, số 52/2021/NQ-HĐND ngày 16/12/2021, số 69/2022/NQ-HĐND ngày 15/7/2022, số 101/2023/NQ-HĐND ngày 14/7/2023, số 136/2024/NQ-HĐND ngày 13/12/2024 và số 172/2025/NQ-HĐND ngày 10/12/2025; có hiệu lực từ ngày 01/01/2027, bảo đảm không sớm hơn 10 ngày kể từ ngày thông qua theo khoản 1 Điều 53 Luật Ban hành văn bản quy phạm pháp luật.</w:t>
      </w:r>
    </w:p>
    <w:p w14:paraId="7C1ADFBC">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rPr>
          <w:lang w:val="nl-NL"/>
        </w:rPr>
      </w:pPr>
      <w:r>
        <w:t>đ) Điều chỉnh một số nội dung về tổ chức thu phí, đối tượng nộp phí đối với một số khoản phí, lệ phí, cụ thể:</w:t>
      </w:r>
    </w:p>
    <w:p w14:paraId="2E0618A6">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pPr>
      <w:r>
        <w:t xml:space="preserve">(1) Đối với phí thẩm định hồ sơ cấp giấy chứng nhận quyền sử dụng đất và lệ phí cấp giấy chứng nhận quyền sử dụng đất, quyền sở hữu nhà, tài sản gắn liền với đất: điều chỉnh lại tên một số đối tượng nộp phí bao gồm: tổ chức tôn giáo, tổ chức tôn giáo trực thuộc; người gốc Việt Nam định cư ở nước ngoài; tổ chức kinh tế có vốn đầu tư nước ngoài. </w:t>
      </w:r>
    </w:p>
    <w:p w14:paraId="3AEC5AC4">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pPr>
      <w:r>
        <w:rPr>
          <w:b/>
          <w:bCs/>
          <w:i/>
          <w:iCs/>
        </w:rPr>
        <w:t>Cơ sở đề xuất:</w:t>
      </w:r>
      <w:r>
        <w:t xml:space="preserve"> để đảm bảo phù hợp quy định về người sử dụng đất tại khoản 2, khoản 6, khoản 7 Điều 4</w:t>
      </w:r>
      <w:r>
        <w:rPr>
          <w:rStyle w:val="10"/>
        </w:rPr>
        <w:footnoteReference w:id="0"/>
      </w:r>
      <w:r>
        <w:t xml:space="preserve"> Luật Đất đai năm 2024</w:t>
      </w:r>
      <w:r>
        <w:rPr>
          <w:lang w:val="nl-NL"/>
        </w:rPr>
        <w:t>.</w:t>
      </w:r>
    </w:p>
    <w:p w14:paraId="1862EF77">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pPr>
      <w:r>
        <w:t>(2) Đối với phí thăm quan danh lam thắng cảnh, cập nhật đơn vị tổ chức thu phí là Trung tâm Dịch vụ tổng hợp xã Can Lộc theo phân công quản lý Khu danh thắng Hương Tích.</w:t>
      </w:r>
    </w:p>
    <w:p w14:paraId="26896F0A">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rPr>
          <w:lang w:val="nl-NL"/>
        </w:rPr>
      </w:pPr>
      <w:r>
        <w:rPr>
          <w:b/>
          <w:bCs/>
          <w:i/>
          <w:iCs/>
        </w:rPr>
        <w:t>Cơ sở đề xuất:</w:t>
      </w:r>
      <w:r>
        <w:t xml:space="preserve"> Trung tâm Dịch vụ tổng hợp xã Can Lộc được UBND xã Can Lộc giao nhiệm vụ quản lý Khu danh thắng Hương Tích.</w:t>
      </w:r>
    </w:p>
    <w:p w14:paraId="12770396">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pPr>
      <w:r>
        <w:rPr>
          <w:b/>
          <w:bCs/>
        </w:rPr>
        <w:t>4. Thời gian thực hiện:</w:t>
      </w:r>
      <w:r>
        <w:t xml:space="preserve"> Từ ngày 01/01/2027.</w:t>
      </w:r>
    </w:p>
    <w:bookmarkEnd w:id="2"/>
    <w:p w14:paraId="7AD15BF8">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pPr>
      <w:r>
        <w:rPr>
          <w:b/>
          <w:bCs/>
        </w:rPr>
        <w:t>V.</w:t>
      </w:r>
      <w:r>
        <w:rPr>
          <w:b/>
        </w:rPr>
        <w:t xml:space="preserve"> DỰ KIẾN NGUỒN LỰC, ĐIỀU KIỆN BẢO ĐẢM CHO VIỆC THI HÀNH VÀ THỜI GIAN TRÌNH THÔNG QUA NGHỊ QUYẾT</w:t>
      </w:r>
    </w:p>
    <w:p w14:paraId="4CC22810">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pPr>
      <w:r>
        <w:t>1. Dự kiến nguồn lực, điều kiện bảo đảm cho việc thi hành Nghị quyết:</w:t>
      </w:r>
    </w:p>
    <w:p w14:paraId="4F87C81A">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pPr>
      <w:r>
        <w:t>Kinh phí thực hiện từ nguồn chi thường xuyên ngân sách nhà nước, được bố trí trong dự toán ngân sách hằng năm của các cấp, cơ quan, đơn vị; các cơ quan, đơn vị được giao nhiệm vụ thu phí, lệ phí bố trí nhân lực, máy móc, thiết bị và các điều kiện cần thiết khác để bảo đảm việc thi hành sau khi Nghị quyết được thông qua.</w:t>
      </w:r>
    </w:p>
    <w:p w14:paraId="27146291">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pPr>
      <w:r>
        <w:t>2. Thời gian trình thông qua Nghị quyết: tại Kỳ họp thường lệ cuối năm 2026 của HĐND tỉnh.</w:t>
      </w:r>
    </w:p>
    <w:p w14:paraId="54161557">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pPr>
      <w:r>
        <w:t>Trên đây là Tờ trình về dự thảo Nghị quyết quy định về mức thu, miễn, giảm, thu, nộp, quản lý và sử dụng các khoản phí, lệ phí trên địa bàn tỉnh Hà Tĩnh</w:t>
      </w:r>
      <w:r>
        <w:rPr>
          <w:color w:val="000000"/>
          <w:lang w:val="nl-NL"/>
        </w:rPr>
        <w:t xml:space="preserve"> </w:t>
      </w:r>
      <w:r>
        <w:rPr>
          <w:i/>
          <w:iCs/>
        </w:rPr>
        <w:t>(có dự thảo Nghị quyết; Báo cáo thẩm định của Sở Tư pháp, báo cáo giải trình, tiếp thu ý kiến thẩm định; Bản tổng hợp, giải trình, tiếp thu ý kiến góp ý)</w:t>
      </w:r>
      <w:r>
        <w:t>.</w:t>
      </w:r>
    </w:p>
    <w:p w14:paraId="6E3D7B13">
      <w:pPr>
        <w:pBdr>
          <w:top w:val="dotted" w:color="FFFFFF" w:sz="4" w:space="0"/>
          <w:left w:val="dotted" w:color="FFFFFF" w:sz="4" w:space="0"/>
          <w:bottom w:val="dotted" w:color="FFFFFF" w:sz="4" w:space="22"/>
          <w:right w:val="dotted" w:color="FFFFFF" w:sz="4" w:space="0"/>
        </w:pBdr>
        <w:shd w:val="clear" w:color="auto" w:fill="FFFFFF"/>
        <w:spacing w:before="120"/>
        <w:ind w:firstLine="720"/>
        <w:jc w:val="both"/>
        <w:rPr>
          <w:bCs/>
          <w:spacing w:val="-4"/>
        </w:rPr>
      </w:pPr>
      <w:r>
        <w:rPr>
          <w:spacing w:val="-4"/>
        </w:rPr>
        <w:t>Ủy ban nhân dân tỉnh kính trình Hội đồng nhân dân tỉnh xem xét, quyết định</w:t>
      </w:r>
      <w:r>
        <w:rPr>
          <w:bCs/>
          <w:spacing w:val="-4"/>
        </w:rPr>
        <w:t>./.</w:t>
      </w:r>
    </w:p>
    <w:tbl>
      <w:tblPr>
        <w:tblStyle w:val="1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31"/>
        <w:gridCol w:w="4531"/>
      </w:tblGrid>
      <w:tr w14:paraId="1DE2C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531" w:type="dxa"/>
          </w:tcPr>
          <w:p w14:paraId="47A78B40">
            <w:pPr>
              <w:jc w:val="both"/>
              <w:rPr>
                <w:b/>
                <w:i/>
                <w:iCs/>
                <w:sz w:val="24"/>
                <w:szCs w:val="24"/>
              </w:rPr>
            </w:pPr>
            <w:r>
              <w:rPr>
                <w:b/>
                <w:i/>
                <w:iCs/>
                <w:sz w:val="24"/>
                <w:szCs w:val="24"/>
              </w:rPr>
              <w:t>Nơi nhận:</w:t>
            </w:r>
          </w:p>
          <w:p w14:paraId="01960021">
            <w:pPr>
              <w:jc w:val="both"/>
              <w:rPr>
                <w:bCs/>
                <w:sz w:val="22"/>
                <w:szCs w:val="22"/>
              </w:rPr>
            </w:pPr>
            <w:r>
              <w:rPr>
                <w:bCs/>
                <w:sz w:val="22"/>
                <w:szCs w:val="22"/>
              </w:rPr>
              <w:t>- Như trên;</w:t>
            </w:r>
          </w:p>
          <w:p w14:paraId="728F9859">
            <w:pPr>
              <w:jc w:val="both"/>
              <w:rPr>
                <w:bCs/>
                <w:sz w:val="22"/>
                <w:szCs w:val="22"/>
              </w:rPr>
            </w:pPr>
            <w:r>
              <w:rPr>
                <w:bCs/>
                <w:sz w:val="22"/>
                <w:szCs w:val="22"/>
              </w:rPr>
              <w:t>- TTr: Tỉnh ủy, HĐND tỉnh;</w:t>
            </w:r>
          </w:p>
          <w:p w14:paraId="09D48E8A">
            <w:pPr>
              <w:jc w:val="both"/>
              <w:rPr>
                <w:bCs/>
                <w:sz w:val="22"/>
                <w:szCs w:val="22"/>
              </w:rPr>
            </w:pPr>
            <w:r>
              <w:rPr>
                <w:bCs/>
                <w:sz w:val="22"/>
                <w:szCs w:val="22"/>
              </w:rPr>
              <w:t>- Ban Thường vụ Đảng ủy UBND tỉnh;</w:t>
            </w:r>
          </w:p>
          <w:p w14:paraId="3A6CFB0E">
            <w:pPr>
              <w:jc w:val="both"/>
              <w:rPr>
                <w:bCs/>
                <w:sz w:val="22"/>
                <w:szCs w:val="22"/>
              </w:rPr>
            </w:pPr>
            <w:r>
              <w:rPr>
                <w:bCs/>
                <w:sz w:val="22"/>
                <w:szCs w:val="22"/>
              </w:rPr>
              <w:t>- Chủ tịch, các PCT UBND tỉnh;</w:t>
            </w:r>
          </w:p>
          <w:p w14:paraId="01E82766">
            <w:pPr>
              <w:jc w:val="both"/>
              <w:rPr>
                <w:bCs/>
                <w:sz w:val="22"/>
                <w:szCs w:val="22"/>
              </w:rPr>
            </w:pPr>
            <w:r>
              <w:rPr>
                <w:bCs/>
                <w:sz w:val="22"/>
                <w:szCs w:val="22"/>
              </w:rPr>
              <w:t>- Ban KTNS - HĐND tỉnh;</w:t>
            </w:r>
          </w:p>
          <w:p w14:paraId="423C2954">
            <w:pPr>
              <w:jc w:val="both"/>
              <w:rPr>
                <w:bCs/>
                <w:sz w:val="22"/>
                <w:szCs w:val="22"/>
              </w:rPr>
            </w:pPr>
            <w:r>
              <w:rPr>
                <w:bCs/>
                <w:sz w:val="22"/>
                <w:szCs w:val="22"/>
              </w:rPr>
              <w:t>- Các Sở: Tài chính, Tư pháp;</w:t>
            </w:r>
          </w:p>
          <w:p w14:paraId="190A5AFB">
            <w:pPr>
              <w:jc w:val="both"/>
              <w:rPr>
                <w:bCs/>
                <w:sz w:val="22"/>
                <w:szCs w:val="22"/>
              </w:rPr>
            </w:pPr>
            <w:r>
              <w:rPr>
                <w:bCs/>
                <w:sz w:val="22"/>
                <w:szCs w:val="22"/>
              </w:rPr>
              <w:t>- Chánh VP, các Phó CVP UBND tỉnh;</w:t>
            </w:r>
          </w:p>
          <w:p w14:paraId="3D510309">
            <w:pPr>
              <w:jc w:val="both"/>
              <w:rPr>
                <w:bCs/>
                <w:sz w:val="22"/>
                <w:szCs w:val="22"/>
              </w:rPr>
            </w:pPr>
            <w:r>
              <w:rPr>
                <w:bCs/>
                <w:sz w:val="22"/>
                <w:szCs w:val="22"/>
              </w:rPr>
              <w:t>- Trung tâm CB-TH tỉnh;</w:t>
            </w:r>
          </w:p>
          <w:p w14:paraId="67EE3E6B">
            <w:pPr>
              <w:jc w:val="both"/>
              <w:rPr>
                <w:bCs/>
              </w:rPr>
            </w:pPr>
            <w:r>
              <w:rPr>
                <w:bCs/>
                <w:sz w:val="22"/>
                <w:szCs w:val="22"/>
              </w:rPr>
              <w:t>- Lưu: VT, TH</w:t>
            </w:r>
            <w:r>
              <w:rPr>
                <w:bCs/>
                <w:sz w:val="22"/>
                <w:szCs w:val="22"/>
                <w:vertAlign w:val="subscript"/>
              </w:rPr>
              <w:t>5</w:t>
            </w:r>
            <w:r>
              <w:rPr>
                <w:bCs/>
                <w:sz w:val="22"/>
                <w:szCs w:val="22"/>
              </w:rPr>
              <w:t>.</w:t>
            </w:r>
          </w:p>
        </w:tc>
        <w:tc>
          <w:tcPr>
            <w:tcW w:w="4531" w:type="dxa"/>
          </w:tcPr>
          <w:p w14:paraId="39DD7A05">
            <w:pPr>
              <w:jc w:val="center"/>
              <w:rPr>
                <w:b/>
              </w:rPr>
            </w:pPr>
            <w:r>
              <w:rPr>
                <w:b/>
                <w:sz w:val="26"/>
                <w:szCs w:val="26"/>
              </w:rPr>
              <w:t>TM. ỦY BAN NHÂN DÂN</w:t>
            </w:r>
            <w:r>
              <w:rPr>
                <w:b/>
                <w:sz w:val="26"/>
                <w:szCs w:val="26"/>
              </w:rPr>
              <w:br w:type="textWrapping"/>
            </w:r>
            <w:r>
              <w:rPr>
                <w:b/>
                <w:sz w:val="26"/>
                <w:szCs w:val="26"/>
              </w:rPr>
              <w:t>KT. CHỦ TỊCH</w:t>
            </w:r>
            <w:r>
              <w:rPr>
                <w:b/>
                <w:sz w:val="26"/>
                <w:szCs w:val="26"/>
              </w:rPr>
              <w:br w:type="textWrapping"/>
            </w:r>
            <w:r>
              <w:rPr>
                <w:b/>
                <w:sz w:val="26"/>
                <w:szCs w:val="26"/>
              </w:rPr>
              <w:t>PHÓ CHỦ TỊCH</w:t>
            </w:r>
          </w:p>
          <w:p w14:paraId="009EE1EB">
            <w:pPr>
              <w:jc w:val="center"/>
              <w:rPr>
                <w:b/>
              </w:rPr>
            </w:pPr>
          </w:p>
          <w:p w14:paraId="6A4DAE83">
            <w:pPr>
              <w:jc w:val="center"/>
              <w:rPr>
                <w:b/>
              </w:rPr>
            </w:pPr>
          </w:p>
          <w:p w14:paraId="701A66FC">
            <w:pPr>
              <w:rPr>
                <w:b/>
              </w:rPr>
            </w:pPr>
          </w:p>
          <w:p w14:paraId="3FEDB919">
            <w:pPr>
              <w:rPr>
                <w:b/>
              </w:rPr>
            </w:pPr>
          </w:p>
        </w:tc>
      </w:tr>
    </w:tbl>
    <w:p w14:paraId="2130A657">
      <w:pPr>
        <w:pBdr>
          <w:top w:val="dotted" w:color="FFFFFF" w:sz="4" w:space="0"/>
          <w:left w:val="dotted" w:color="FFFFFF" w:sz="4" w:space="0"/>
          <w:bottom w:val="dotted" w:color="FFFFFF" w:sz="4" w:space="22"/>
          <w:right w:val="dotted" w:color="FFFFFF" w:sz="4" w:space="0"/>
        </w:pBdr>
        <w:shd w:val="clear" w:color="auto" w:fill="FFFFFF"/>
        <w:spacing w:after="120"/>
        <w:jc w:val="both"/>
        <w:rPr>
          <w:bCs/>
        </w:rPr>
      </w:pPr>
    </w:p>
    <w:sectPr>
      <w:headerReference r:id="rId4" w:type="default"/>
      <w:pgSz w:w="11907" w:h="16839"/>
      <w:pgMar w:top="1134" w:right="1134" w:bottom="1134" w:left="1701" w:header="567" w:footer="567" w:gutter="0"/>
      <w:cols w:space="720" w:num="1"/>
      <w:titlePg/>
      <w:docGrid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Arial Unicode MS">
    <w:altName w:val="Arial"/>
    <w:panose1 w:val="020B0604020202020204"/>
    <w:charset w:val="00"/>
    <w:family w:val="roma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VnTime">
    <w:altName w:val="Courier New"/>
    <w:panose1 w:val="00000000000000000000"/>
    <w:charset w:val="00"/>
    <w:family w:val="swiss"/>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Times New Roman Bold">
    <w:altName w:val="Times New Roman"/>
    <w:panose1 w:val="02020803070505020304"/>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01759F10">
      <w:pPr>
        <w:pStyle w:val="12"/>
        <w:rPr>
          <w:rFonts w:ascii="Times New Roman" w:hAnsi="Times New Roman"/>
          <w:b/>
          <w:bCs/>
        </w:rPr>
      </w:pPr>
      <w:r>
        <w:rPr>
          <w:rStyle w:val="10"/>
          <w:rFonts w:ascii="Times New Roman" w:hAnsi="Times New Roman"/>
        </w:rPr>
        <w:footnoteRef/>
      </w:r>
      <w:r>
        <w:rPr>
          <w:rFonts w:ascii="Times New Roman" w:hAnsi="Times New Roman"/>
        </w:rPr>
        <w:t xml:space="preserve"> “</w:t>
      </w:r>
      <w:bookmarkStart w:id="3" w:name="dieu_4"/>
      <w:r>
        <w:rPr>
          <w:rFonts w:ascii="Times New Roman" w:hAnsi="Times New Roman"/>
          <w:b/>
          <w:bCs/>
        </w:rPr>
        <w:t>Điều 4. Người sử dụng đất</w:t>
      </w:r>
      <w:bookmarkEnd w:id="3"/>
    </w:p>
    <w:p w14:paraId="1863E6C8">
      <w:pPr>
        <w:pStyle w:val="12"/>
        <w:rPr>
          <w:rFonts w:ascii="Times New Roman" w:hAnsi="Times New Roman"/>
        </w:rPr>
      </w:pPr>
      <w:r>
        <w:rPr>
          <w:rFonts w:ascii="Times New Roman" w:hAnsi="Times New Roman"/>
        </w:rPr>
        <w:t>2. Tổ chức tôn giáo, tổ chức tôn giáo trực thuộc;</w:t>
      </w:r>
    </w:p>
    <w:p w14:paraId="4B994273">
      <w:pPr>
        <w:pStyle w:val="12"/>
        <w:rPr>
          <w:rFonts w:ascii="Times New Roman" w:hAnsi="Times New Roman"/>
        </w:rPr>
      </w:pPr>
      <w:r>
        <w:rPr>
          <w:rFonts w:ascii="Times New Roman" w:hAnsi="Times New Roman"/>
        </w:rPr>
        <w:t>6. Người gốc Việt Nam định cư ở nước ngoài;</w:t>
      </w:r>
    </w:p>
    <w:p w14:paraId="5197192B">
      <w:pPr>
        <w:pStyle w:val="12"/>
      </w:pPr>
      <w:r>
        <w:rPr>
          <w:rFonts w:ascii="Times New Roman" w:hAnsi="Times New Roman"/>
        </w:rPr>
        <w:t>7. Tổ chức kinh tế có vốn đầu tư nước ngoài.”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617EE">
    <w:pPr>
      <w:pStyle w:val="13"/>
      <w:jc w:val="center"/>
    </w:pPr>
    <w:r>
      <w:fldChar w:fldCharType="begin"/>
    </w:r>
    <w:r>
      <w:instrText xml:space="preserve"> PAGE   \* MERGEFORMAT </w:instrText>
    </w:r>
    <w:r>
      <w:fldChar w:fldCharType="separate"/>
    </w:r>
    <w:r>
      <w:t>5</w:t>
    </w:r>
    <w:r>
      <w:fldChar w:fldCharType="end"/>
    </w:r>
  </w:p>
  <w:p w14:paraId="4840EA64">
    <w:pPr>
      <w:pStyle w:val="1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footnotePr>
    <w:footnote w:id="2"/>
    <w:footnote w:id="3"/>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07F"/>
    <w:rsid w:val="000034FF"/>
    <w:rsid w:val="000055AD"/>
    <w:rsid w:val="00005B1F"/>
    <w:rsid w:val="00014486"/>
    <w:rsid w:val="00046183"/>
    <w:rsid w:val="000509F5"/>
    <w:rsid w:val="00051682"/>
    <w:rsid w:val="00074B6F"/>
    <w:rsid w:val="00077A77"/>
    <w:rsid w:val="000811BA"/>
    <w:rsid w:val="00082086"/>
    <w:rsid w:val="0008273F"/>
    <w:rsid w:val="00084B5B"/>
    <w:rsid w:val="00085B7A"/>
    <w:rsid w:val="000923E3"/>
    <w:rsid w:val="000A307F"/>
    <w:rsid w:val="000B537C"/>
    <w:rsid w:val="000B7833"/>
    <w:rsid w:val="000B7C65"/>
    <w:rsid w:val="000C7E78"/>
    <w:rsid w:val="000D4388"/>
    <w:rsid w:val="000E0902"/>
    <w:rsid w:val="000E1513"/>
    <w:rsid w:val="000F0E71"/>
    <w:rsid w:val="000F5A6C"/>
    <w:rsid w:val="00102642"/>
    <w:rsid w:val="00112067"/>
    <w:rsid w:val="001263A1"/>
    <w:rsid w:val="001627AB"/>
    <w:rsid w:val="00163B72"/>
    <w:rsid w:val="00164518"/>
    <w:rsid w:val="00172F40"/>
    <w:rsid w:val="001736A0"/>
    <w:rsid w:val="00173F8E"/>
    <w:rsid w:val="001746E4"/>
    <w:rsid w:val="00175A49"/>
    <w:rsid w:val="00184FF4"/>
    <w:rsid w:val="0018726F"/>
    <w:rsid w:val="001956D1"/>
    <w:rsid w:val="00196537"/>
    <w:rsid w:val="001A3768"/>
    <w:rsid w:val="001B11F4"/>
    <w:rsid w:val="001B19FF"/>
    <w:rsid w:val="001B46D7"/>
    <w:rsid w:val="001B6D64"/>
    <w:rsid w:val="001B7D6D"/>
    <w:rsid w:val="001C243D"/>
    <w:rsid w:val="001E2E9E"/>
    <w:rsid w:val="001F40E1"/>
    <w:rsid w:val="00204B9D"/>
    <w:rsid w:val="002151FD"/>
    <w:rsid w:val="002218F3"/>
    <w:rsid w:val="00222861"/>
    <w:rsid w:val="002311DD"/>
    <w:rsid w:val="002327DD"/>
    <w:rsid w:val="00234EF6"/>
    <w:rsid w:val="00242127"/>
    <w:rsid w:val="00244D29"/>
    <w:rsid w:val="00266810"/>
    <w:rsid w:val="00267D55"/>
    <w:rsid w:val="00280E9E"/>
    <w:rsid w:val="002856FA"/>
    <w:rsid w:val="0029277B"/>
    <w:rsid w:val="00296273"/>
    <w:rsid w:val="002975FB"/>
    <w:rsid w:val="002A2C5F"/>
    <w:rsid w:val="002B051E"/>
    <w:rsid w:val="002B7AAD"/>
    <w:rsid w:val="002C255F"/>
    <w:rsid w:val="002C78C9"/>
    <w:rsid w:val="002F485B"/>
    <w:rsid w:val="002F5946"/>
    <w:rsid w:val="002F5A1C"/>
    <w:rsid w:val="00337808"/>
    <w:rsid w:val="0034227C"/>
    <w:rsid w:val="00344BE9"/>
    <w:rsid w:val="00350D4F"/>
    <w:rsid w:val="00353730"/>
    <w:rsid w:val="00357080"/>
    <w:rsid w:val="00372BBD"/>
    <w:rsid w:val="00386A5C"/>
    <w:rsid w:val="003C2981"/>
    <w:rsid w:val="003D2A6D"/>
    <w:rsid w:val="003D6E7F"/>
    <w:rsid w:val="003F0BB7"/>
    <w:rsid w:val="003F0CA3"/>
    <w:rsid w:val="003F5F8D"/>
    <w:rsid w:val="0040365E"/>
    <w:rsid w:val="00404CD4"/>
    <w:rsid w:val="004262FD"/>
    <w:rsid w:val="00434D8B"/>
    <w:rsid w:val="00440AD1"/>
    <w:rsid w:val="00446B70"/>
    <w:rsid w:val="00447B30"/>
    <w:rsid w:val="0046544D"/>
    <w:rsid w:val="004A4A2F"/>
    <w:rsid w:val="004A7F57"/>
    <w:rsid w:val="004B501C"/>
    <w:rsid w:val="004B5996"/>
    <w:rsid w:val="004D10D8"/>
    <w:rsid w:val="004D6B75"/>
    <w:rsid w:val="004E3DC5"/>
    <w:rsid w:val="004E5849"/>
    <w:rsid w:val="004F3E7B"/>
    <w:rsid w:val="00510E4D"/>
    <w:rsid w:val="005139F6"/>
    <w:rsid w:val="00530DA4"/>
    <w:rsid w:val="00540290"/>
    <w:rsid w:val="005402C0"/>
    <w:rsid w:val="00545BE9"/>
    <w:rsid w:val="00556135"/>
    <w:rsid w:val="005705BD"/>
    <w:rsid w:val="005767AC"/>
    <w:rsid w:val="00580744"/>
    <w:rsid w:val="00592548"/>
    <w:rsid w:val="0059255B"/>
    <w:rsid w:val="00592DB7"/>
    <w:rsid w:val="0059460F"/>
    <w:rsid w:val="00594752"/>
    <w:rsid w:val="00595B7D"/>
    <w:rsid w:val="005A751B"/>
    <w:rsid w:val="005A7CAF"/>
    <w:rsid w:val="005D0049"/>
    <w:rsid w:val="005D0C8C"/>
    <w:rsid w:val="005D3251"/>
    <w:rsid w:val="005D6913"/>
    <w:rsid w:val="005E187D"/>
    <w:rsid w:val="005E5B49"/>
    <w:rsid w:val="005E7B79"/>
    <w:rsid w:val="005F3C72"/>
    <w:rsid w:val="006035D7"/>
    <w:rsid w:val="00604480"/>
    <w:rsid w:val="006406A8"/>
    <w:rsid w:val="00642EE1"/>
    <w:rsid w:val="00650074"/>
    <w:rsid w:val="00657A2E"/>
    <w:rsid w:val="00665650"/>
    <w:rsid w:val="006773D3"/>
    <w:rsid w:val="00686A36"/>
    <w:rsid w:val="006A1E9E"/>
    <w:rsid w:val="006A7576"/>
    <w:rsid w:val="006A7C0A"/>
    <w:rsid w:val="006B6DD4"/>
    <w:rsid w:val="006C4B1B"/>
    <w:rsid w:val="006D0F29"/>
    <w:rsid w:val="006D253D"/>
    <w:rsid w:val="006D775F"/>
    <w:rsid w:val="006E57DD"/>
    <w:rsid w:val="006E67C2"/>
    <w:rsid w:val="007057BC"/>
    <w:rsid w:val="00705E34"/>
    <w:rsid w:val="00710741"/>
    <w:rsid w:val="00712039"/>
    <w:rsid w:val="00715736"/>
    <w:rsid w:val="007164EA"/>
    <w:rsid w:val="00726E9D"/>
    <w:rsid w:val="007323CD"/>
    <w:rsid w:val="00735251"/>
    <w:rsid w:val="00744287"/>
    <w:rsid w:val="0074534E"/>
    <w:rsid w:val="00756D6D"/>
    <w:rsid w:val="00763640"/>
    <w:rsid w:val="00772C10"/>
    <w:rsid w:val="0077371B"/>
    <w:rsid w:val="007737C1"/>
    <w:rsid w:val="00775FFC"/>
    <w:rsid w:val="007768D2"/>
    <w:rsid w:val="00776F57"/>
    <w:rsid w:val="0077745B"/>
    <w:rsid w:val="0078364F"/>
    <w:rsid w:val="00783E93"/>
    <w:rsid w:val="00784B05"/>
    <w:rsid w:val="00785282"/>
    <w:rsid w:val="00786994"/>
    <w:rsid w:val="007952CF"/>
    <w:rsid w:val="00797D5C"/>
    <w:rsid w:val="007B4196"/>
    <w:rsid w:val="007C20C8"/>
    <w:rsid w:val="007C5DE3"/>
    <w:rsid w:val="007D3DBC"/>
    <w:rsid w:val="007E4505"/>
    <w:rsid w:val="00803A23"/>
    <w:rsid w:val="00813D5F"/>
    <w:rsid w:val="008309F8"/>
    <w:rsid w:val="0083208F"/>
    <w:rsid w:val="00850496"/>
    <w:rsid w:val="008518C5"/>
    <w:rsid w:val="0086139F"/>
    <w:rsid w:val="0086521D"/>
    <w:rsid w:val="0087652D"/>
    <w:rsid w:val="0089686D"/>
    <w:rsid w:val="008A352C"/>
    <w:rsid w:val="008A4910"/>
    <w:rsid w:val="008A5011"/>
    <w:rsid w:val="008A7100"/>
    <w:rsid w:val="008B0029"/>
    <w:rsid w:val="008B66FE"/>
    <w:rsid w:val="008D1E36"/>
    <w:rsid w:val="008D7334"/>
    <w:rsid w:val="008E025F"/>
    <w:rsid w:val="00904FC4"/>
    <w:rsid w:val="0091170C"/>
    <w:rsid w:val="009337E1"/>
    <w:rsid w:val="009345C6"/>
    <w:rsid w:val="009603DD"/>
    <w:rsid w:val="009717F5"/>
    <w:rsid w:val="00977D91"/>
    <w:rsid w:val="00987DCF"/>
    <w:rsid w:val="009929AF"/>
    <w:rsid w:val="009B4CD3"/>
    <w:rsid w:val="009C082B"/>
    <w:rsid w:val="009C0B3D"/>
    <w:rsid w:val="009C6DE4"/>
    <w:rsid w:val="009D2268"/>
    <w:rsid w:val="009D40F1"/>
    <w:rsid w:val="009D4B22"/>
    <w:rsid w:val="009D7AD5"/>
    <w:rsid w:val="009E430B"/>
    <w:rsid w:val="009F1730"/>
    <w:rsid w:val="009F2FBB"/>
    <w:rsid w:val="00A04902"/>
    <w:rsid w:val="00A12C7F"/>
    <w:rsid w:val="00A3511E"/>
    <w:rsid w:val="00A47B1B"/>
    <w:rsid w:val="00A51FA9"/>
    <w:rsid w:val="00A60872"/>
    <w:rsid w:val="00A66A3F"/>
    <w:rsid w:val="00A84C86"/>
    <w:rsid w:val="00A9426A"/>
    <w:rsid w:val="00A96D21"/>
    <w:rsid w:val="00A97E34"/>
    <w:rsid w:val="00AA36F2"/>
    <w:rsid w:val="00AC0B92"/>
    <w:rsid w:val="00AC74F7"/>
    <w:rsid w:val="00AE1091"/>
    <w:rsid w:val="00AF436D"/>
    <w:rsid w:val="00AF7BC4"/>
    <w:rsid w:val="00B168AF"/>
    <w:rsid w:val="00B246A2"/>
    <w:rsid w:val="00B35C19"/>
    <w:rsid w:val="00B45655"/>
    <w:rsid w:val="00B472F6"/>
    <w:rsid w:val="00B60A1F"/>
    <w:rsid w:val="00B622C5"/>
    <w:rsid w:val="00B629D7"/>
    <w:rsid w:val="00B726C0"/>
    <w:rsid w:val="00B767FC"/>
    <w:rsid w:val="00B831BF"/>
    <w:rsid w:val="00B84B80"/>
    <w:rsid w:val="00B85CE6"/>
    <w:rsid w:val="00BA5730"/>
    <w:rsid w:val="00BB33D1"/>
    <w:rsid w:val="00BB3AA5"/>
    <w:rsid w:val="00BD0C42"/>
    <w:rsid w:val="00BD10B1"/>
    <w:rsid w:val="00BF0E49"/>
    <w:rsid w:val="00BF11D7"/>
    <w:rsid w:val="00BF1B23"/>
    <w:rsid w:val="00BF2D0F"/>
    <w:rsid w:val="00C07E73"/>
    <w:rsid w:val="00C14EFB"/>
    <w:rsid w:val="00C27CCA"/>
    <w:rsid w:val="00C31D83"/>
    <w:rsid w:val="00C34CEE"/>
    <w:rsid w:val="00C36659"/>
    <w:rsid w:val="00C41409"/>
    <w:rsid w:val="00C44FAD"/>
    <w:rsid w:val="00C56ADD"/>
    <w:rsid w:val="00C63439"/>
    <w:rsid w:val="00C76077"/>
    <w:rsid w:val="00C85AEB"/>
    <w:rsid w:val="00C902FE"/>
    <w:rsid w:val="00C9051D"/>
    <w:rsid w:val="00CB333B"/>
    <w:rsid w:val="00CB722E"/>
    <w:rsid w:val="00CC4694"/>
    <w:rsid w:val="00CD1FFA"/>
    <w:rsid w:val="00CD4A23"/>
    <w:rsid w:val="00CD6D90"/>
    <w:rsid w:val="00CD6DE6"/>
    <w:rsid w:val="00CE5EFA"/>
    <w:rsid w:val="00D1584C"/>
    <w:rsid w:val="00D27A78"/>
    <w:rsid w:val="00D34F58"/>
    <w:rsid w:val="00D37E13"/>
    <w:rsid w:val="00D45E0B"/>
    <w:rsid w:val="00D475C0"/>
    <w:rsid w:val="00D55444"/>
    <w:rsid w:val="00D57871"/>
    <w:rsid w:val="00D678D8"/>
    <w:rsid w:val="00D70310"/>
    <w:rsid w:val="00D75C82"/>
    <w:rsid w:val="00D954B6"/>
    <w:rsid w:val="00DB0406"/>
    <w:rsid w:val="00DB4E2E"/>
    <w:rsid w:val="00DB5014"/>
    <w:rsid w:val="00DB6210"/>
    <w:rsid w:val="00DC15D7"/>
    <w:rsid w:val="00DC44A1"/>
    <w:rsid w:val="00DD0F22"/>
    <w:rsid w:val="00DD424D"/>
    <w:rsid w:val="00DD5F03"/>
    <w:rsid w:val="00DF1477"/>
    <w:rsid w:val="00DF3CCE"/>
    <w:rsid w:val="00DF4312"/>
    <w:rsid w:val="00DF6924"/>
    <w:rsid w:val="00E03A33"/>
    <w:rsid w:val="00E132CA"/>
    <w:rsid w:val="00E141BC"/>
    <w:rsid w:val="00E22A39"/>
    <w:rsid w:val="00E230F6"/>
    <w:rsid w:val="00E25C1D"/>
    <w:rsid w:val="00E27C8A"/>
    <w:rsid w:val="00E316D1"/>
    <w:rsid w:val="00E335E5"/>
    <w:rsid w:val="00E44372"/>
    <w:rsid w:val="00E5508C"/>
    <w:rsid w:val="00E65003"/>
    <w:rsid w:val="00E70362"/>
    <w:rsid w:val="00E726C9"/>
    <w:rsid w:val="00E825F1"/>
    <w:rsid w:val="00E93B11"/>
    <w:rsid w:val="00EA25B6"/>
    <w:rsid w:val="00EA572C"/>
    <w:rsid w:val="00EC3593"/>
    <w:rsid w:val="00EC5D07"/>
    <w:rsid w:val="00EE1C78"/>
    <w:rsid w:val="00EE6D00"/>
    <w:rsid w:val="00F06696"/>
    <w:rsid w:val="00F13028"/>
    <w:rsid w:val="00F22A58"/>
    <w:rsid w:val="00F23A8C"/>
    <w:rsid w:val="00F24B03"/>
    <w:rsid w:val="00F306B5"/>
    <w:rsid w:val="00F3745B"/>
    <w:rsid w:val="00F40667"/>
    <w:rsid w:val="00F60658"/>
    <w:rsid w:val="00F63FA3"/>
    <w:rsid w:val="00F82614"/>
    <w:rsid w:val="00F83DBC"/>
    <w:rsid w:val="00F9424F"/>
    <w:rsid w:val="00F979F9"/>
    <w:rsid w:val="00FA7E61"/>
    <w:rsid w:val="00FB514F"/>
    <w:rsid w:val="00FB7269"/>
    <w:rsid w:val="00FC37F1"/>
    <w:rsid w:val="00FC5D4B"/>
    <w:rsid w:val="00FE1A67"/>
    <w:rsid w:val="00FE39BC"/>
    <w:rsid w:val="00FF5EAE"/>
    <w:rsid w:val="7F2810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99" w:semiHidden="0" w:name="footnote text"/>
    <w:lsdException w:qFormat="1" w:uiPriority="0"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99" w:semiHidden="0" w:name="footnote reference"/>
    <w:lsdException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8"/>
      <w:szCs w:val="28"/>
      <w:lang w:val="en-US" w:eastAsia="en-US" w:bidi="ar-SA"/>
    </w:rPr>
  </w:style>
  <w:style w:type="paragraph" w:styleId="2">
    <w:name w:val="heading 4"/>
    <w:basedOn w:val="1"/>
    <w:next w:val="1"/>
    <w:link w:val="30"/>
    <w:semiHidden/>
    <w:unhideWhenUsed/>
    <w:qFormat/>
    <w:uiPriority w:val="9"/>
    <w:pPr>
      <w:keepNext/>
      <w:keepLines/>
      <w:spacing w:before="40"/>
      <w:outlineLvl w:val="3"/>
    </w:pPr>
    <w:rPr>
      <w:rFonts w:asciiTheme="majorHAnsi" w:hAnsiTheme="majorHAnsi" w:eastAsiaTheme="majorEastAsia" w:cstheme="majorBidi"/>
      <w:i/>
      <w:iCs/>
      <w:color w:val="2E75B6" w:themeColor="accent1" w:themeShade="BF"/>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8"/>
    <w:semiHidden/>
    <w:unhideWhenUsed/>
    <w:qFormat/>
    <w:uiPriority w:val="99"/>
    <w:rPr>
      <w:rFonts w:ascii="Tahoma" w:hAnsi="Tahoma" w:cs="Tahoma"/>
      <w:sz w:val="16"/>
      <w:szCs w:val="16"/>
    </w:rPr>
  </w:style>
  <w:style w:type="paragraph" w:styleId="6">
    <w:name w:val="Body Text Indent"/>
    <w:basedOn w:val="1"/>
    <w:link w:val="24"/>
    <w:qFormat/>
    <w:uiPriority w:val="0"/>
    <w:pPr>
      <w:spacing w:after="120"/>
      <w:ind w:left="283"/>
    </w:pPr>
    <w:rPr>
      <w:rFonts w:ascii=".VnTime" w:hAnsi=".VnTime"/>
    </w:rPr>
  </w:style>
  <w:style w:type="character" w:styleId="7">
    <w:name w:val="annotation reference"/>
    <w:basedOn w:val="3"/>
    <w:semiHidden/>
    <w:unhideWhenUsed/>
    <w:uiPriority w:val="0"/>
    <w:rPr>
      <w:sz w:val="16"/>
      <w:szCs w:val="16"/>
    </w:rPr>
  </w:style>
  <w:style w:type="paragraph" w:styleId="8">
    <w:name w:val="annotation text"/>
    <w:basedOn w:val="1"/>
    <w:link w:val="26"/>
    <w:semiHidden/>
    <w:unhideWhenUsed/>
    <w:qFormat/>
    <w:uiPriority w:val="0"/>
    <w:rPr>
      <w:sz w:val="20"/>
      <w:szCs w:val="20"/>
    </w:rPr>
  </w:style>
  <w:style w:type="paragraph" w:styleId="9">
    <w:name w:val="footer"/>
    <w:basedOn w:val="1"/>
    <w:link w:val="23"/>
    <w:unhideWhenUsed/>
    <w:uiPriority w:val="99"/>
    <w:pPr>
      <w:tabs>
        <w:tab w:val="center" w:pos="4680"/>
        <w:tab w:val="right" w:pos="9360"/>
      </w:tabs>
    </w:pPr>
  </w:style>
  <w:style w:type="character" w:styleId="10">
    <w:name w:val="footnote reference"/>
    <w:link w:val="11"/>
    <w:qFormat/>
    <w:uiPriority w:val="99"/>
    <w:rPr>
      <w:vertAlign w:val="superscript"/>
    </w:rPr>
  </w:style>
  <w:style w:type="paragraph" w:customStyle="1" w:styleId="11">
    <w:name w:val="Char Char1 Char Char Char Char1 Char Char Char Char Char Char Char Char"/>
    <w:basedOn w:val="1"/>
    <w:next w:val="1"/>
    <w:link w:val="10"/>
    <w:qFormat/>
    <w:uiPriority w:val="99"/>
    <w:pPr>
      <w:spacing w:after="160" w:line="240" w:lineRule="exact"/>
    </w:pPr>
    <w:rPr>
      <w:rFonts w:ascii="Calibri" w:hAnsi="Calibri" w:eastAsia="Calibri"/>
      <w:sz w:val="20"/>
      <w:szCs w:val="20"/>
      <w:vertAlign w:val="superscript"/>
    </w:rPr>
  </w:style>
  <w:style w:type="paragraph" w:styleId="12">
    <w:name w:val="footnote text"/>
    <w:basedOn w:val="1"/>
    <w:link w:val="25"/>
    <w:qFormat/>
    <w:uiPriority w:val="99"/>
    <w:rPr>
      <w:rFonts w:ascii=".VnTime" w:hAnsi=".VnTime"/>
      <w:sz w:val="20"/>
      <w:szCs w:val="20"/>
    </w:rPr>
  </w:style>
  <w:style w:type="paragraph" w:styleId="13">
    <w:name w:val="header"/>
    <w:basedOn w:val="1"/>
    <w:link w:val="22"/>
    <w:unhideWhenUsed/>
    <w:qFormat/>
    <w:uiPriority w:val="99"/>
    <w:pPr>
      <w:tabs>
        <w:tab w:val="center" w:pos="4680"/>
        <w:tab w:val="right" w:pos="9360"/>
      </w:tabs>
    </w:pPr>
  </w:style>
  <w:style w:type="character" w:styleId="14">
    <w:name w:val="Hyperlink"/>
    <w:unhideWhenUsed/>
    <w:qFormat/>
    <w:uiPriority w:val="99"/>
    <w:rPr>
      <w:color w:val="0000FF"/>
      <w:u w:val="single"/>
    </w:rPr>
  </w:style>
  <w:style w:type="paragraph" w:styleId="15">
    <w:name w:val="Normal (Web)"/>
    <w:basedOn w:val="1"/>
    <w:unhideWhenUsed/>
    <w:qFormat/>
    <w:uiPriority w:val="99"/>
    <w:pPr>
      <w:spacing w:before="100" w:beforeAutospacing="1" w:after="100" w:afterAutospacing="1"/>
    </w:pPr>
    <w:rPr>
      <w:sz w:val="24"/>
      <w:szCs w:val="24"/>
    </w:rPr>
  </w:style>
  <w:style w:type="table" w:styleId="16">
    <w:name w:val="Table Grid"/>
    <w:basedOn w:val="4"/>
    <w:qFormat/>
    <w:uiPriority w:val="0"/>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7">
    <w:name w:val="Body 1"/>
    <w:qFormat/>
    <w:uiPriority w:val="0"/>
    <w:pPr>
      <w:outlineLvl w:val="0"/>
    </w:pPr>
    <w:rPr>
      <w:rFonts w:ascii="Times New Roman" w:hAnsi="Times New Roman" w:eastAsia="Arial Unicode MS" w:cs="Times New Roman"/>
      <w:color w:val="000000"/>
      <w:sz w:val="24"/>
      <w:u w:color="000000"/>
      <w:lang w:val="en-US" w:eastAsia="en-US" w:bidi="ar-SA"/>
    </w:rPr>
  </w:style>
  <w:style w:type="character" w:customStyle="1" w:styleId="18">
    <w:name w:val="Balloon Text Char"/>
    <w:link w:val="5"/>
    <w:semiHidden/>
    <w:qFormat/>
    <w:uiPriority w:val="99"/>
    <w:rPr>
      <w:rFonts w:ascii="Tahoma" w:hAnsi="Tahoma" w:eastAsia="Times New Roman" w:cs="Tahoma"/>
      <w:sz w:val="16"/>
      <w:szCs w:val="16"/>
    </w:rPr>
  </w:style>
  <w:style w:type="paragraph" w:styleId="19">
    <w:name w:val="List Paragraph"/>
    <w:basedOn w:val="1"/>
    <w:qFormat/>
    <w:uiPriority w:val="34"/>
    <w:pPr>
      <w:ind w:left="720"/>
      <w:contextualSpacing/>
    </w:pPr>
  </w:style>
  <w:style w:type="paragraph" w:customStyle="1" w:styleId="20">
    <w:name w:val="Char1 Char Char Char Char Char Char Char Char Char Char Char Char Char Char Char Char1 Char Char"/>
    <w:basedOn w:val="1"/>
    <w:qFormat/>
    <w:uiPriority w:val="0"/>
    <w:pPr>
      <w:widowControl w:val="0"/>
      <w:jc w:val="both"/>
    </w:pPr>
    <w:rPr>
      <w:rFonts w:eastAsia="SimSun"/>
      <w:kern w:val="2"/>
      <w:sz w:val="24"/>
      <w:szCs w:val="26"/>
      <w:lang w:eastAsia="zh-CN"/>
    </w:rPr>
  </w:style>
  <w:style w:type="character" w:customStyle="1" w:styleId="21">
    <w:name w:val="fontstyle01"/>
    <w:uiPriority w:val="0"/>
    <w:rPr>
      <w:rFonts w:hint="default" w:ascii="Times New Roman" w:hAnsi="Times New Roman" w:cs="Times New Roman"/>
      <w:color w:val="000000"/>
      <w:sz w:val="28"/>
      <w:szCs w:val="28"/>
    </w:rPr>
  </w:style>
  <w:style w:type="character" w:customStyle="1" w:styleId="22">
    <w:name w:val="Header Char"/>
    <w:link w:val="13"/>
    <w:qFormat/>
    <w:uiPriority w:val="99"/>
    <w:rPr>
      <w:rFonts w:ascii="Times New Roman" w:hAnsi="Times New Roman" w:eastAsia="Times New Roman"/>
      <w:sz w:val="28"/>
      <w:szCs w:val="28"/>
    </w:rPr>
  </w:style>
  <w:style w:type="character" w:customStyle="1" w:styleId="23">
    <w:name w:val="Footer Char"/>
    <w:link w:val="9"/>
    <w:qFormat/>
    <w:uiPriority w:val="99"/>
    <w:rPr>
      <w:rFonts w:ascii="Times New Roman" w:hAnsi="Times New Roman" w:eastAsia="Times New Roman"/>
      <w:sz w:val="28"/>
      <w:szCs w:val="28"/>
    </w:rPr>
  </w:style>
  <w:style w:type="character" w:customStyle="1" w:styleId="24">
    <w:name w:val="Body Text Indent Char"/>
    <w:basedOn w:val="3"/>
    <w:link w:val="6"/>
    <w:qFormat/>
    <w:uiPriority w:val="0"/>
    <w:rPr>
      <w:rFonts w:ascii=".VnTime" w:hAnsi=".VnTime" w:eastAsia="Times New Roman"/>
      <w:sz w:val="28"/>
      <w:szCs w:val="28"/>
    </w:rPr>
  </w:style>
  <w:style w:type="character" w:customStyle="1" w:styleId="25">
    <w:name w:val="Footnote Text Char"/>
    <w:basedOn w:val="3"/>
    <w:link w:val="12"/>
    <w:qFormat/>
    <w:uiPriority w:val="99"/>
    <w:rPr>
      <w:rFonts w:ascii=".VnTime" w:hAnsi=".VnTime" w:eastAsia="Times New Roman"/>
    </w:rPr>
  </w:style>
  <w:style w:type="character" w:customStyle="1" w:styleId="26">
    <w:name w:val="Comment Text Char"/>
    <w:basedOn w:val="3"/>
    <w:link w:val="8"/>
    <w:semiHidden/>
    <w:qFormat/>
    <w:uiPriority w:val="0"/>
    <w:rPr>
      <w:rFonts w:ascii="Times New Roman" w:hAnsi="Times New Roman" w:eastAsia="Times New Roman"/>
    </w:rPr>
  </w:style>
  <w:style w:type="paragraph" w:customStyle="1" w:styleId="27">
    <w:name w:val="Revision"/>
    <w:hidden/>
    <w:semiHidden/>
    <w:qFormat/>
    <w:uiPriority w:val="99"/>
    <w:rPr>
      <w:rFonts w:ascii="Times New Roman" w:hAnsi="Times New Roman" w:eastAsia="Times New Roman" w:cs="Times New Roman"/>
      <w:sz w:val="28"/>
      <w:szCs w:val="28"/>
      <w:lang w:val="en-US" w:eastAsia="en-US" w:bidi="ar-SA"/>
    </w:rPr>
  </w:style>
  <w:style w:type="character" w:customStyle="1" w:styleId="28">
    <w:name w:val="fontstyle21"/>
    <w:basedOn w:val="3"/>
    <w:qFormat/>
    <w:uiPriority w:val="0"/>
    <w:rPr>
      <w:rFonts w:hint="default" w:ascii="Times New Roman" w:hAnsi="Times New Roman" w:cs="Times New Roman"/>
      <w:b/>
      <w:bCs/>
      <w:color w:val="000000"/>
      <w:sz w:val="26"/>
      <w:szCs w:val="26"/>
    </w:rPr>
  </w:style>
  <w:style w:type="paragraph" w:customStyle="1" w:styleId="29">
    <w:name w:val="Char Char Char1 Char Char Char Char Char Char1 Char"/>
    <w:basedOn w:val="1"/>
    <w:uiPriority w:val="0"/>
    <w:pPr>
      <w:spacing w:after="160" w:line="240" w:lineRule="exact"/>
    </w:pPr>
    <w:rPr>
      <w:rFonts w:ascii="Verdana" w:hAnsi="Verdana"/>
      <w:sz w:val="20"/>
      <w:szCs w:val="20"/>
      <w:lang w:val="en-GB"/>
    </w:rPr>
  </w:style>
  <w:style w:type="character" w:customStyle="1" w:styleId="30">
    <w:name w:val="Heading 4 Char"/>
    <w:basedOn w:val="3"/>
    <w:link w:val="2"/>
    <w:semiHidden/>
    <w:qFormat/>
    <w:uiPriority w:val="9"/>
    <w:rPr>
      <w:rFonts w:asciiTheme="majorHAnsi" w:hAnsiTheme="majorHAnsi" w:eastAsiaTheme="majorEastAsia" w:cstheme="majorBidi"/>
      <w:i/>
      <w:iCs/>
      <w:color w:val="2E75B6" w:themeColor="accent1" w:themeShade="BF"/>
      <w:sz w:val="28"/>
      <w:szCs w:val="28"/>
    </w:rPr>
  </w:style>
  <w:style w:type="character" w:customStyle="1" w:styleId="31">
    <w:name w:val="Unresolved Mention"/>
    <w:basedOn w:val="3"/>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C6C92C2-FC83-4672-998C-38C56AF35CDD}">
  <ds:schemaRefs/>
</ds:datastoreItem>
</file>

<file path=docProps/app.xml><?xml version="1.0" encoding="utf-8"?>
<Properties xmlns="http://schemas.openxmlformats.org/officeDocument/2006/extended-properties" xmlns:vt="http://schemas.openxmlformats.org/officeDocument/2006/docPropsVTypes">
  <Template>Normal</Template>
  <Company>home</Company>
  <Pages>5</Pages>
  <Words>1930</Words>
  <Characters>7083</Characters>
  <Lines>64</Lines>
  <Paragraphs>18</Paragraphs>
  <TotalTime>13</TotalTime>
  <ScaleCrop>false</ScaleCrop>
  <LinksUpToDate>false</LinksUpToDate>
  <CharactersWithSpaces>9044</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2025-11-24T10:04:00Z</dcterms:created>
  <dc:creator>Phòng Tổng hợp UBND tỉnh Hà Tĩnh</dc:creator>
  <cp:lastModifiedBy>user</cp:lastModifiedBy>
  <cp:lastPrinted>2025-11-24T09:19:00Z</cp:lastPrinted>
  <dcterms:modified xsi:type="dcterms:W3CDTF">2026-11-02T02:10:28Z</dcterms:modified>
  <dc:title>Phòng Tổng hợp UBND tỉnh Hà Tĩnh</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0B8D5AE7B85348E3AE9F290CABBA85DA_13</vt:lpwstr>
  </property>
</Properties>
</file>