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9773" w:type="dxa"/>
        <w:jc w:val="center"/>
        <w:tblLayout w:type="autofit"/>
        <w:tblCellMar>
          <w:top w:w="0" w:type="dxa"/>
          <w:left w:w="108" w:type="dxa"/>
          <w:bottom w:w="0" w:type="dxa"/>
          <w:right w:w="108" w:type="dxa"/>
        </w:tblCellMar>
      </w:tblPr>
      <w:tblGrid>
        <w:gridCol w:w="4253"/>
        <w:gridCol w:w="5520"/>
      </w:tblGrid>
      <w:tr w14:paraId="13AED1FB">
        <w:tblPrEx>
          <w:tblCellMar>
            <w:top w:w="0" w:type="dxa"/>
            <w:left w:w="108" w:type="dxa"/>
            <w:bottom w:w="0" w:type="dxa"/>
            <w:right w:w="108" w:type="dxa"/>
          </w:tblCellMar>
        </w:tblPrEx>
        <w:trPr>
          <w:trHeight w:val="709" w:hRule="atLeast"/>
          <w:jc w:val="center"/>
        </w:trPr>
        <w:tc>
          <w:tcPr>
            <w:tcW w:w="4253" w:type="dxa"/>
          </w:tcPr>
          <w:p w14:paraId="3A00CF6F">
            <w:pPr>
              <w:jc w:val="center"/>
              <w:rPr>
                <w:spacing w:val="-6"/>
                <w:sz w:val="26"/>
                <w:szCs w:val="26"/>
              </w:rPr>
            </w:pPr>
            <w:bookmarkStart w:id="3" w:name="_GoBack"/>
            <w:bookmarkEnd w:id="3"/>
            <w:r>
              <w:rPr>
                <w:spacing w:val="-6"/>
                <w:sz w:val="26"/>
                <w:szCs w:val="26"/>
              </w:rPr>
              <w:t>UBND TỈNH HÀ TĨNH</w:t>
            </w:r>
          </w:p>
          <w:p w14:paraId="1987A704">
            <w:pPr>
              <w:jc w:val="center"/>
              <w:rPr>
                <w:b/>
                <w:spacing w:val="-6"/>
                <w:sz w:val="26"/>
                <w:szCs w:val="26"/>
              </w:rPr>
            </w:pPr>
            <w:r>
              <w:rPr>
                <w:b/>
                <w:spacing w:val="-6"/>
                <w:sz w:val="26"/>
                <w:szCs w:val="26"/>
              </w:rPr>
              <w:t>SỞ GIÁO DỤC VÀ ĐÀO TẠO</w:t>
            </w:r>
          </w:p>
        </w:tc>
        <w:tc>
          <w:tcPr>
            <w:tcW w:w="5520" w:type="dxa"/>
          </w:tcPr>
          <w:p w14:paraId="041EF875">
            <w:pPr>
              <w:jc w:val="center"/>
              <w:rPr>
                <w:b/>
                <w:spacing w:val="-6"/>
                <w:sz w:val="26"/>
                <w:szCs w:val="26"/>
              </w:rPr>
            </w:pPr>
            <w:r>
              <w:rPr>
                <w:b/>
                <w:spacing w:val="-6"/>
                <w:sz w:val="26"/>
                <w:szCs w:val="26"/>
              </w:rPr>
              <w:t>CỘNG HOÀ XÃ HỘI CHỦ NGHĨA VIỆT NAM</w:t>
            </w:r>
          </w:p>
          <w:p w14:paraId="332E563B">
            <w:pPr>
              <w:jc w:val="center"/>
              <w:rPr>
                <w:spacing w:val="-6"/>
                <w:sz w:val="28"/>
                <w:szCs w:val="28"/>
              </w:rPr>
            </w:pPr>
            <w:r>
              <w:rPr>
                <w:b/>
                <w:spacing w:val="-6"/>
                <w:sz w:val="28"/>
                <w:szCs w:val="28"/>
                <w:lang w:eastAsia="vi-VN"/>
              </w:rPr>
              <mc:AlternateContent>
                <mc:Choice Requires="wps">
                  <w:drawing>
                    <wp:anchor distT="0" distB="0" distL="114300" distR="114300" simplePos="0" relativeHeight="251659264" behindDoc="0" locked="0" layoutInCell="1" allowOverlap="1">
                      <wp:simplePos x="0" y="0"/>
                      <wp:positionH relativeFrom="column">
                        <wp:posOffset>669290</wp:posOffset>
                      </wp:positionH>
                      <wp:positionV relativeFrom="paragraph">
                        <wp:posOffset>231775</wp:posOffset>
                      </wp:positionV>
                      <wp:extent cx="2042160" cy="0"/>
                      <wp:effectExtent l="0" t="0" r="0" b="0"/>
                      <wp:wrapNone/>
                      <wp:docPr id="1858656612" name="Straight Connector 1"/>
                      <wp:cNvGraphicFramePr/>
                      <a:graphic xmlns:a="http://schemas.openxmlformats.org/drawingml/2006/main">
                        <a:graphicData uri="http://schemas.microsoft.com/office/word/2010/wordprocessingShape">
                          <wps:wsp>
                            <wps:cNvCnPr/>
                            <wps:spPr bwMode="auto">
                              <a:xfrm>
                                <a:off x="0" y="0"/>
                                <a:ext cx="2042160" cy="0"/>
                              </a:xfrm>
                              <a:prstGeom prst="line">
                                <a:avLst/>
                              </a:prstGeom>
                              <a:noFill/>
                              <a:ln w="9525">
                                <a:solidFill>
                                  <a:srgbClr val="000000"/>
                                </a:solidFill>
                                <a:round/>
                              </a:ln>
                            </wps:spPr>
                            <wps:bodyPr/>
                          </wps:wsp>
                        </a:graphicData>
                      </a:graphic>
                    </wp:anchor>
                  </w:drawing>
                </mc:Choice>
                <mc:Fallback>
                  <w:pict>
                    <v:line id="Straight Connector 1" o:spid="_x0000_s1026" o:spt="20" style="position:absolute;left:0pt;margin-left:52.7pt;margin-top:18.25pt;height:0pt;width:160.8pt;z-index:251659264;mso-width-relative:page;mso-height-relative:page;" filled="f" stroked="t" coordsize="21600,21600" o:gfxdata="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NSk23WAAAACQEAAA8AAAAAAAAAAQAgAAAAIgAAAGRycy9kb3ducmV2LnhtbFBL&#10;AQIUABQAAAAIAIdO4kDMc/07vwEAAIQDAAAOAAAAAAAAAAEAIAAAACUBAABkcnMvZTJvRG9jLnht&#10;bFBLBQYAAAAABgAGAFkBAABWBQAAAAA=&#10;">
                      <v:fill on="f" focussize="0,0"/>
                      <v:stroke color="#000000" joinstyle="round"/>
                      <v:imagedata o:title=""/>
                      <o:lock v:ext="edit" aspectratio="f"/>
                    </v:line>
                  </w:pict>
                </mc:Fallback>
              </mc:AlternateContent>
            </w:r>
            <w:r>
              <w:rPr>
                <w:b/>
                <w:spacing w:val="-6"/>
                <w:sz w:val="28"/>
                <w:szCs w:val="28"/>
              </w:rPr>
              <w:t>Độc lập - Tự do - Hạnh phúc</w:t>
            </w:r>
          </w:p>
        </w:tc>
      </w:tr>
      <w:tr w14:paraId="58AA18AF">
        <w:tblPrEx>
          <w:tblCellMar>
            <w:top w:w="0" w:type="dxa"/>
            <w:left w:w="108" w:type="dxa"/>
            <w:bottom w:w="0" w:type="dxa"/>
            <w:right w:w="108" w:type="dxa"/>
          </w:tblCellMar>
        </w:tblPrEx>
        <w:trPr>
          <w:trHeight w:val="354" w:hRule="atLeast"/>
          <w:jc w:val="center"/>
        </w:trPr>
        <w:tc>
          <w:tcPr>
            <w:tcW w:w="4253" w:type="dxa"/>
          </w:tcPr>
          <w:p w14:paraId="34BA34AB">
            <w:pPr>
              <w:spacing w:before="240" w:after="120"/>
              <w:jc w:val="center"/>
              <w:rPr>
                <w:sz w:val="28"/>
                <w:szCs w:val="28"/>
              </w:rPr>
            </w:pPr>
            <w:r>
              <w:rPr>
                <w:b/>
                <w:spacing w:val="-6"/>
                <w:sz w:val="26"/>
                <w:szCs w:val="26"/>
                <w:lang w:eastAsia="vi-VN"/>
              </w:rPr>
              <mc:AlternateContent>
                <mc:Choice Requires="wps">
                  <w:drawing>
                    <wp:anchor distT="0" distB="0" distL="114300" distR="114300" simplePos="0" relativeHeight="251660288" behindDoc="0" locked="0" layoutInCell="1" allowOverlap="1">
                      <wp:simplePos x="0" y="0"/>
                      <wp:positionH relativeFrom="column">
                        <wp:posOffset>911860</wp:posOffset>
                      </wp:positionH>
                      <wp:positionV relativeFrom="paragraph">
                        <wp:posOffset>7620</wp:posOffset>
                      </wp:positionV>
                      <wp:extent cx="658495" cy="0"/>
                      <wp:effectExtent l="0" t="0" r="0" b="0"/>
                      <wp:wrapNone/>
                      <wp:docPr id="733181459" name="Straight Connector 3"/>
                      <wp:cNvGraphicFramePr/>
                      <a:graphic xmlns:a="http://schemas.openxmlformats.org/drawingml/2006/main">
                        <a:graphicData uri="http://schemas.microsoft.com/office/word/2010/wordprocessingShape">
                          <wps:wsp>
                            <wps:cNvCnPr/>
                            <wps:spPr bwMode="auto">
                              <a:xfrm>
                                <a:off x="0" y="0"/>
                                <a:ext cx="658495" cy="0"/>
                              </a:xfrm>
                              <a:prstGeom prst="line">
                                <a:avLst/>
                              </a:prstGeom>
                              <a:noFill/>
                              <a:ln w="9525">
                                <a:solidFill>
                                  <a:srgbClr val="000000"/>
                                </a:solidFill>
                                <a:round/>
                              </a:ln>
                            </wps:spPr>
                            <wps:bodyPr/>
                          </wps:wsp>
                        </a:graphicData>
                      </a:graphic>
                    </wp:anchor>
                  </w:drawing>
                </mc:Choice>
                <mc:Fallback>
                  <w:pict>
                    <v:line id="Straight Connector 3" o:spid="_x0000_s1026" o:spt="20" style="position:absolute;left:0pt;margin-left:71.8pt;margin-top:0.6pt;height:0pt;width:51.85pt;z-index:251660288;mso-width-relative:page;mso-height-relative:page;" filled="f" stroked="t" coordsize="21600,21600" o:gfxdata="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z8eZzTAAAABwEAAA8AAAAAAAAAAQAgAAAAIgAAAGRycy9kb3ducmV2LnhtbFBLAQIU&#10;ABQAAAAIAIdO4kDIu2DyvwEAAIIDAAAOAAAAAAAAAAEAIAAAACIBAABkcnMvZTJvRG9jLnhtbFBL&#10;BQYAAAAABgAGAFkBAABTBQAAAAA=&#10;">
                      <v:fill on="f" focussize="0,0"/>
                      <v:stroke color="#000000" joinstyle="round"/>
                      <v:imagedata o:title=""/>
                      <o:lock v:ext="edit" aspectratio="f"/>
                    </v:line>
                  </w:pict>
                </mc:Fallback>
              </mc:AlternateContent>
            </w:r>
            <w:r>
              <w:rPr>
                <w:sz w:val="26"/>
                <w:szCs w:val="26"/>
              </w:rPr>
              <w:t>Số:          /SGDĐT-VP</w:t>
            </w:r>
          </w:p>
        </w:tc>
        <w:tc>
          <w:tcPr>
            <w:tcW w:w="5520" w:type="dxa"/>
          </w:tcPr>
          <w:p w14:paraId="66835D95">
            <w:pPr>
              <w:spacing w:before="240" w:after="120"/>
              <w:jc w:val="center"/>
              <w:rPr>
                <w:i/>
                <w:sz w:val="28"/>
                <w:szCs w:val="28"/>
              </w:rPr>
            </w:pPr>
            <w:r>
              <w:rPr>
                <w:i/>
                <w:sz w:val="28"/>
                <w:szCs w:val="28"/>
              </w:rPr>
              <w:t xml:space="preserve">Hà Tĩnh, ngày      tháng </w:t>
            </w:r>
            <w:r>
              <w:rPr>
                <w:i/>
                <w:sz w:val="28"/>
                <w:szCs w:val="28"/>
                <w:lang w:val="en-US"/>
              </w:rPr>
              <w:t>10</w:t>
            </w:r>
            <w:r>
              <w:rPr>
                <w:i/>
                <w:sz w:val="28"/>
                <w:szCs w:val="28"/>
              </w:rPr>
              <w:t xml:space="preserve"> năm 2026</w:t>
            </w:r>
          </w:p>
        </w:tc>
      </w:tr>
      <w:tr w14:paraId="54FDC9B0">
        <w:tblPrEx>
          <w:tblCellMar>
            <w:top w:w="0" w:type="dxa"/>
            <w:left w:w="108" w:type="dxa"/>
            <w:bottom w:w="0" w:type="dxa"/>
            <w:right w:w="108" w:type="dxa"/>
          </w:tblCellMar>
        </w:tblPrEx>
        <w:trPr>
          <w:trHeight w:val="713" w:hRule="atLeast"/>
          <w:jc w:val="center"/>
        </w:trPr>
        <w:tc>
          <w:tcPr>
            <w:tcW w:w="4253" w:type="dxa"/>
          </w:tcPr>
          <w:p w14:paraId="1081DF92">
            <w:pPr>
              <w:widowControl w:val="0"/>
              <w:tabs>
                <w:tab w:val="right" w:leader="dot" w:pos="7920"/>
              </w:tabs>
              <w:jc w:val="center"/>
              <w:rPr>
                <w:rFonts w:ascii=".VnTime" w:hAnsi=".VnTime"/>
              </w:rPr>
            </w:pPr>
            <w:r>
              <w:rPr>
                <w:lang w:val="en-US"/>
              </w:rPr>
              <w:t>V/v đăng ký xây dựng Quyết định bãi bỏ một số quyết định quy phạm pháp luật của Ủy ban nhân dân tỉnh thuộc lĩnh vực giáo dục và đào tạo</w:t>
            </w:r>
          </w:p>
        </w:tc>
        <w:tc>
          <w:tcPr>
            <w:tcW w:w="5520" w:type="dxa"/>
          </w:tcPr>
          <w:p w14:paraId="616AB064">
            <w:pPr>
              <w:jc w:val="center"/>
              <w:rPr>
                <w:i/>
                <w:sz w:val="28"/>
                <w:szCs w:val="28"/>
              </w:rPr>
            </w:pPr>
          </w:p>
        </w:tc>
      </w:tr>
    </w:tbl>
    <w:p w14:paraId="6B7171D8">
      <w:pPr>
        <w:widowControl w:val="0"/>
        <w:tabs>
          <w:tab w:val="right" w:leader="dot" w:pos="7920"/>
        </w:tabs>
        <w:rPr>
          <w:b/>
          <w:i/>
          <w:iCs/>
          <w:sz w:val="22"/>
          <w:szCs w:val="22"/>
          <w:lang w:val="en-US"/>
        </w:rPr>
      </w:pPr>
      <w:r>
        <w:rPr>
          <w:b/>
          <w:i/>
          <w:iCs/>
          <w:sz w:val="22"/>
          <w:szCs w:val="22"/>
        </w:rPr>
        <w:t xml:space="preserve">         </w:t>
      </w:r>
    </w:p>
    <w:p w14:paraId="5EC7906A">
      <w:pPr>
        <w:widowControl w:val="0"/>
        <w:tabs>
          <w:tab w:val="right" w:leader="dot" w:pos="7920"/>
        </w:tabs>
        <w:spacing w:before="120" w:after="120"/>
        <w:jc w:val="center"/>
        <w:rPr>
          <w:b/>
          <w:sz w:val="28"/>
          <w:szCs w:val="28"/>
          <w:lang w:val="en-US"/>
        </w:rPr>
      </w:pPr>
    </w:p>
    <w:p w14:paraId="5A1DC1AB">
      <w:pPr>
        <w:widowControl w:val="0"/>
        <w:tabs>
          <w:tab w:val="right" w:leader="dot" w:pos="7920"/>
        </w:tabs>
        <w:spacing w:before="120" w:after="120"/>
        <w:jc w:val="center"/>
        <w:rPr>
          <w:sz w:val="28"/>
          <w:szCs w:val="28"/>
        </w:rPr>
      </w:pPr>
      <w:r>
        <w:rPr>
          <w:sz w:val="28"/>
          <w:szCs w:val="28"/>
        </w:rPr>
        <w:t>Kính gửi: Chủ tịch Ủy ban nhân dân tỉnh</w:t>
      </w:r>
    </w:p>
    <w:p w14:paraId="02544746">
      <w:pPr>
        <w:widowControl w:val="0"/>
        <w:tabs>
          <w:tab w:val="left" w:pos="567"/>
          <w:tab w:val="right" w:leader="dot" w:pos="7920"/>
        </w:tabs>
        <w:spacing w:after="120"/>
        <w:jc w:val="both"/>
        <w:rPr>
          <w:sz w:val="28"/>
          <w:szCs w:val="28"/>
          <w:lang w:val="en-US"/>
        </w:rPr>
      </w:pPr>
    </w:p>
    <w:p w14:paraId="1A7BE074">
      <w:pPr>
        <w:widowControl w:val="0"/>
        <w:tabs>
          <w:tab w:val="left" w:pos="567"/>
          <w:tab w:val="right" w:leader="dot" w:pos="7920"/>
        </w:tabs>
        <w:spacing w:after="120"/>
        <w:jc w:val="both"/>
        <w:rPr>
          <w:color w:val="000000" w:themeColor="text1"/>
          <w:sz w:val="28"/>
          <w:szCs w:val="28"/>
          <w:lang w:val="en-US"/>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Thực hiện quy định của Luật Ban hành văn bản quy phạm pháp luật ngày 19/02/2025; Luật sửa đổi, bổ sung một số điều của Luật Ban hành văn bản quy phạm pháp luật ngày 25/6/2025 và các Nghị định hướng dẫn thi hành</w:t>
      </w:r>
      <w:r>
        <w:rPr>
          <w:color w:val="000000" w:themeColor="text1"/>
          <w:sz w:val="28"/>
          <w:szCs w:val="28"/>
          <w:lang w:val="en-US"/>
          <w14:textFill>
            <w14:solidFill>
              <w14:schemeClr w14:val="tx1"/>
            </w14:solidFill>
          </w14:textFill>
        </w:rPr>
        <w:t>.</w:t>
      </w:r>
    </w:p>
    <w:p w14:paraId="4BF7D137">
      <w:pPr>
        <w:widowControl w:val="0"/>
        <w:tabs>
          <w:tab w:val="left" w:pos="567"/>
          <w:tab w:val="right" w:leader="dot" w:pos="7920"/>
        </w:tabs>
        <w:spacing w:after="120"/>
        <w:jc w:val="both"/>
        <w:rPr>
          <w:sz w:val="28"/>
          <w:szCs w:val="28"/>
        </w:rPr>
      </w:pPr>
      <w:r>
        <w:rPr>
          <w:color w:val="000000" w:themeColor="text1"/>
          <w:sz w:val="28"/>
          <w:szCs w:val="28"/>
          <w:lang w:val="en-US"/>
          <w14:textFill>
            <w14:solidFill>
              <w14:schemeClr w14:val="tx1"/>
            </w14:solidFill>
          </w14:textFill>
        </w:rPr>
        <w:tab/>
      </w:r>
      <w:r>
        <w:rPr>
          <w:sz w:val="28"/>
          <w:szCs w:val="28"/>
        </w:rPr>
        <w:t xml:space="preserve">Trên cơ sở rà soát các quy định pháp luật, Văn bản số </w:t>
      </w:r>
      <w:r>
        <w:rPr>
          <w:sz w:val="28"/>
          <w:szCs w:val="28"/>
          <w:lang w:val="en-US"/>
        </w:rPr>
        <w:t>2646</w:t>
      </w:r>
      <w:r>
        <w:rPr>
          <w:sz w:val="28"/>
          <w:szCs w:val="28"/>
        </w:rPr>
        <w:t xml:space="preserve">/STP-XDVB ngày </w:t>
      </w:r>
      <w:r>
        <w:rPr>
          <w:sz w:val="28"/>
          <w:szCs w:val="28"/>
          <w:lang w:val="en-US"/>
        </w:rPr>
        <w:t>01/10</w:t>
      </w:r>
      <w:r>
        <w:rPr>
          <w:sz w:val="28"/>
          <w:szCs w:val="28"/>
        </w:rPr>
        <w:t xml:space="preserve">/2026 của Sở Tư pháp cho ý kiến đối với </w:t>
      </w:r>
      <w:r>
        <w:rPr>
          <w:sz w:val="28"/>
          <w:szCs w:val="28"/>
          <w:lang w:val="en-US"/>
        </w:rPr>
        <w:t>việc</w:t>
      </w:r>
      <w:r>
        <w:rPr>
          <w:sz w:val="28"/>
          <w:szCs w:val="28"/>
        </w:rPr>
        <w:t xml:space="preserve"> </w:t>
      </w:r>
      <w:r>
        <w:rPr>
          <w:sz w:val="28"/>
          <w:szCs w:val="28"/>
          <w:lang w:val="en-US"/>
        </w:rPr>
        <w:t>đăng ký</w:t>
      </w:r>
      <w:r>
        <w:rPr>
          <w:sz w:val="28"/>
          <w:szCs w:val="28"/>
        </w:rPr>
        <w:t xml:space="preserve"> xây dựng văn bản quy phạm pháp luật trong lĩnh vực </w:t>
      </w:r>
      <w:r>
        <w:rPr>
          <w:sz w:val="28"/>
          <w:szCs w:val="28"/>
          <w:lang w:val="en-US"/>
        </w:rPr>
        <w:t>giáo dục và đào tạo;</w:t>
      </w:r>
      <w:r>
        <w:rPr>
          <w:sz w:val="28"/>
          <w:szCs w:val="28"/>
        </w:rPr>
        <w:t xml:space="preserve"> </w:t>
      </w:r>
      <w:r>
        <w:rPr>
          <w:sz w:val="28"/>
          <w:szCs w:val="28"/>
          <w:lang w:val="en-US"/>
        </w:rPr>
        <w:t>Sở Giáo dục và Đào tạo</w:t>
      </w:r>
      <w:r>
        <w:rPr>
          <w:sz w:val="28"/>
          <w:szCs w:val="28"/>
        </w:rPr>
        <w:t xml:space="preserve"> </w:t>
      </w:r>
      <w:r>
        <w:rPr>
          <w:sz w:val="28"/>
          <w:szCs w:val="28"/>
          <w:lang w:val="en-US"/>
        </w:rPr>
        <w:t xml:space="preserve">đề nghị UBND tỉnh cho chủ trương </w:t>
      </w:r>
      <w:r>
        <w:rPr>
          <w:sz w:val="28"/>
          <w:szCs w:val="28"/>
          <w:lang w:val="pt-BR"/>
        </w:rPr>
        <w:t>xây dựng</w:t>
      </w:r>
      <w:r>
        <w:rPr>
          <w:spacing w:val="-4"/>
          <w:sz w:val="28"/>
          <w:szCs w:val="28"/>
        </w:rPr>
        <w:t xml:space="preserve"> Quyết định bãi bỏ Quyết định số</w:t>
      </w:r>
      <w:r>
        <w:rPr>
          <w:spacing w:val="-4"/>
          <w:sz w:val="28"/>
          <w:szCs w:val="28"/>
          <w:lang w:val="en-US"/>
        </w:rPr>
        <w:t xml:space="preserve"> 50/2009/QĐ-UBND ngày 30/12/2009 của UBND tỉnh Hà Tĩnh về việc hỗ trợ sinh hoạt phí cho giáo viên mầm non ngoài biên chế, cho hợp đồng lao động và hỗ trợ kinh phí cho nhân viên làm công tác kế toán, y tế tại trường mầm non bán công, dân lập; </w:t>
      </w:r>
      <w:bookmarkStart w:id="0" w:name="_Hlk241067233"/>
      <w:r>
        <w:rPr>
          <w:spacing w:val="-4"/>
          <w:sz w:val="28"/>
          <w:szCs w:val="28"/>
          <w:lang w:val="en-US"/>
        </w:rPr>
        <w:t>Quyết định số 35/2012/QĐ-UBND ngày 13/7/2012 của UBND tỉnh Hà Tĩnh về việc ban hành Quy định một số chính sách đối với ngành Giáo dục và Đào tạo</w:t>
      </w:r>
      <w:bookmarkEnd w:id="0"/>
      <w:r>
        <w:rPr>
          <w:color w:val="000000"/>
          <w:sz w:val="28"/>
          <w:szCs w:val="28"/>
        </w:rPr>
        <w:t>;</w:t>
      </w:r>
      <w:r>
        <w:rPr>
          <w:sz w:val="28"/>
          <w:szCs w:val="28"/>
        </w:rPr>
        <w:t xml:space="preserve"> cụ thể như sau:                      </w:t>
      </w:r>
      <w:r>
        <w:rPr>
          <w:rFonts w:eastAsia="Yu Gothic"/>
          <w:b/>
          <w:bCs/>
          <w:sz w:val="28"/>
          <w:szCs w:val="28"/>
        </w:rPr>
        <w:t xml:space="preserve">                         </w:t>
      </w:r>
    </w:p>
    <w:p w14:paraId="0B9D7D7D">
      <w:pPr>
        <w:pStyle w:val="31"/>
        <w:spacing w:after="120"/>
        <w:ind w:left="0" w:firstLine="720"/>
        <w:jc w:val="both"/>
        <w:rPr>
          <w:b/>
          <w:bCs/>
          <w:color w:val="000000"/>
          <w:sz w:val="28"/>
          <w:szCs w:val="28"/>
          <w:shd w:val="clear" w:color="auto" w:fill="FFFFFF"/>
          <w:lang w:val="en-US"/>
        </w:rPr>
      </w:pPr>
      <w:r>
        <w:rPr>
          <w:b/>
          <w:bCs/>
          <w:color w:val="000000"/>
          <w:sz w:val="28"/>
          <w:szCs w:val="28"/>
          <w:shd w:val="clear" w:color="auto" w:fill="FFFFFF"/>
        </w:rPr>
        <w:t xml:space="preserve">I. </w:t>
      </w:r>
      <w:r>
        <w:rPr>
          <w:b/>
          <w:bCs/>
          <w:color w:val="000000"/>
          <w:sz w:val="28"/>
          <w:szCs w:val="28"/>
          <w:shd w:val="clear" w:color="auto" w:fill="FFFFFF"/>
          <w:lang w:val="en-US"/>
        </w:rPr>
        <w:t>SỰ CẦN THIẾT BAN HÀNH VĂN BẢN</w:t>
      </w:r>
    </w:p>
    <w:p w14:paraId="10FAB4FE">
      <w:pPr>
        <w:pStyle w:val="31"/>
        <w:spacing w:after="120"/>
        <w:ind w:left="0" w:firstLine="720"/>
        <w:jc w:val="both"/>
        <w:rPr>
          <w:b/>
          <w:bCs/>
          <w:color w:val="000000"/>
          <w:sz w:val="28"/>
          <w:szCs w:val="28"/>
          <w:shd w:val="clear" w:color="auto" w:fill="FFFFFF"/>
        </w:rPr>
      </w:pPr>
      <w:r>
        <w:rPr>
          <w:b/>
          <w:bCs/>
          <w:spacing w:val="-4"/>
          <w:sz w:val="28"/>
          <w:szCs w:val="28"/>
          <w:lang w:val="en-US"/>
        </w:rPr>
        <w:t>1.</w:t>
      </w:r>
      <w:r>
        <w:rPr>
          <w:b/>
          <w:bCs/>
          <w:spacing w:val="-4"/>
          <w:sz w:val="28"/>
          <w:szCs w:val="28"/>
        </w:rPr>
        <w:t xml:space="preserve"> Đối với </w:t>
      </w:r>
      <w:bookmarkStart w:id="1" w:name="_Hlk241067904"/>
      <w:r>
        <w:rPr>
          <w:b/>
          <w:bCs/>
          <w:spacing w:val="-4"/>
          <w:sz w:val="28"/>
          <w:szCs w:val="28"/>
        </w:rPr>
        <w:t xml:space="preserve">Quyết định số 50/2009/QĐ-UBND </w:t>
      </w:r>
      <w:bookmarkEnd w:id="1"/>
      <w:r>
        <w:rPr>
          <w:b/>
          <w:bCs/>
          <w:spacing w:val="-4"/>
          <w:sz w:val="28"/>
          <w:szCs w:val="28"/>
        </w:rPr>
        <w:t>ngày 30/12/2009 của UBND tỉnh Hà Tĩnh về việc hỗ trợ sinh hoạt phí cho giáo viên mầm non ngoài biên chế, cho hợp đồng lao động và hỗ trợ kinh phí cho nhân viên làm công tác kế toán, y tế tại trường mầm non bán công, dân lập</w:t>
      </w:r>
      <w:r>
        <w:rPr>
          <w:rStyle w:val="91"/>
          <w:b/>
          <w:bCs/>
          <w:spacing w:val="-4"/>
          <w:sz w:val="28"/>
          <w:szCs w:val="28"/>
          <w:shd w:val="clear" w:color="auto" w:fill="auto"/>
        </w:rPr>
        <w:t xml:space="preserve"> </w:t>
      </w:r>
      <w:r>
        <w:rPr>
          <w:rStyle w:val="91"/>
          <w:b/>
          <w:bCs/>
          <w:color w:val="000000"/>
          <w:sz w:val="28"/>
          <w:szCs w:val="28"/>
          <w:lang w:eastAsia="vi-VN"/>
        </w:rPr>
        <w:t xml:space="preserve">(sau đây gọi là </w:t>
      </w:r>
      <w:r>
        <w:rPr>
          <w:b/>
          <w:bCs/>
          <w:color w:val="000000"/>
          <w:sz w:val="28"/>
          <w:szCs w:val="28"/>
        </w:rPr>
        <w:t xml:space="preserve">Quyết định </w:t>
      </w:r>
      <w:r>
        <w:rPr>
          <w:b/>
          <w:bCs/>
          <w:spacing w:val="-4"/>
          <w:sz w:val="28"/>
          <w:szCs w:val="28"/>
        </w:rPr>
        <w:t>số 50/2009/QĐ-UBND</w:t>
      </w:r>
      <w:r>
        <w:rPr>
          <w:b/>
          <w:bCs/>
          <w:color w:val="000000"/>
          <w:sz w:val="28"/>
          <w:szCs w:val="28"/>
        </w:rPr>
        <w:t>)</w:t>
      </w:r>
    </w:p>
    <w:p w14:paraId="6ACF70A5">
      <w:pPr>
        <w:spacing w:after="120"/>
        <w:ind w:firstLine="720"/>
        <w:jc w:val="both"/>
        <w:rPr>
          <w:rStyle w:val="91"/>
          <w:iCs/>
          <w:color w:val="000000"/>
          <w:sz w:val="28"/>
          <w:szCs w:val="28"/>
          <w:lang w:val="en-US" w:eastAsia="vi-VN"/>
        </w:rPr>
      </w:pPr>
      <w:r>
        <w:rPr>
          <w:color w:val="000000"/>
          <w:sz w:val="28"/>
          <w:szCs w:val="28"/>
        </w:rPr>
        <w:t xml:space="preserve">Quyết định số 50/2009/QĐ-UBND được ban hành trên cơ sở </w:t>
      </w:r>
      <w:r>
        <w:rPr>
          <w:rStyle w:val="91"/>
          <w:iCs/>
          <w:color w:val="000000"/>
          <w:sz w:val="28"/>
          <w:szCs w:val="28"/>
          <w:lang w:eastAsia="vi-VN"/>
        </w:rPr>
        <w:t>Luật Tổ chức HĐND và UBND ngày 26 tháng 11 năm 2003;</w:t>
      </w:r>
      <w:r>
        <w:rPr>
          <w:rStyle w:val="91"/>
          <w:iCs/>
          <w:color w:val="000000"/>
          <w:sz w:val="28"/>
          <w:szCs w:val="28"/>
          <w:lang w:val="en-US" w:eastAsia="vi-VN"/>
        </w:rPr>
        <w:t xml:space="preserve"> Luật Ngân sách Nhà nước số 01/2002/QH11 ngày 16/12/2002; Quyết định 161/2002/QĐ-TTg ngày 15/11/2002 quy định về một số chính sách phát triển giáo dục mầm non, Quyết định số 149/2006/QĐ-TTg ngày 23/6/2006 của Thủ tướng Chính phủ về việc phê duyệt Đề án phát triển giáo dục mầm non giai đoạn 2006-2015; Thông tư Liên tịch số 44/2000/TTLT/BTC-BGDĐT-BLĐTBXH, ngày 23/5/2000 của Liên bộ Tài chính - Giáo dục và Đào tạo - Lao động Thương binh và Xã hội về hướng dẫn chế độ quản lý tài chính đối với các đơn vị ngoài công lập hoạt động trong lĩnh vực giáo dục và đào tạo; Thông tư Liên tịch số 71/2007/TTLT-BGD&amp;ĐT-BNV ngày 28/11/2007 của Liên Bộ Giáo dục - Đào tạo và Bộ Nội vụ về việc biên chế sự nghiệp trong các cơ sở giáo dục mầm non; Quyết định số 58/2008/QĐ-BGD&amp;ĐT ngày 17/10/2008 của Bộ Giáo dục và Đào tạo quy định về hoạt động y tế trong các cơ sở giáo dục mầm non; Nghị quyết số 115/2009/NQ-HĐND ngày 12/12/2009 của Hội đồng nhân dân tỉnh khóa XV, kỳ họp thứ 16 về việc phê duyệt mức hỗ trợ sinh hoạt kinh phí cho giáo viên mầm non ngoài biên chế, cho hợp đồng lao động và hỗ trợ kinh phí cho nhân viên làm công tác kế toán, y tế tại trường mầm non bán công, dân lập. </w:t>
      </w:r>
    </w:p>
    <w:p w14:paraId="7FE24967">
      <w:pPr>
        <w:spacing w:after="120"/>
        <w:ind w:firstLine="720"/>
        <w:jc w:val="both"/>
        <w:rPr>
          <w:color w:val="000000"/>
          <w:sz w:val="28"/>
          <w:szCs w:val="28"/>
          <w:highlight w:val="yellow"/>
          <w:lang w:val="en-US"/>
        </w:rPr>
      </w:pPr>
      <w:r>
        <w:rPr>
          <w:color w:val="000000"/>
          <w:sz w:val="28"/>
          <w:szCs w:val="28"/>
        </w:rPr>
        <w:t>Đến nay, các văn bản làm căn cứ ban hành Quyết định số 50/2009/QĐ-UBND đã hết hiệu lực thi hành hoặc được thay thế, điều chỉnh bởi các quy định pháp luật mới, có hiệu lực pháp lý cao hơn, phạm vi điều chỉnh đầy đủ và phù hợp hơn với yêu cầu quản lý nhà nước hiện hành</w:t>
      </w:r>
      <w:r>
        <w:rPr>
          <w:color w:val="000000"/>
          <w:sz w:val="28"/>
          <w:szCs w:val="28"/>
          <w:lang w:val="en-US"/>
        </w:rPr>
        <w:t>.</w:t>
      </w:r>
    </w:p>
    <w:p w14:paraId="74007CC4">
      <w:pPr>
        <w:spacing w:after="120"/>
        <w:ind w:firstLine="720"/>
        <w:jc w:val="both"/>
        <w:rPr>
          <w:color w:val="000000"/>
          <w:sz w:val="28"/>
          <w:szCs w:val="28"/>
          <w:lang w:val="en-US"/>
        </w:rPr>
      </w:pPr>
      <w:r>
        <w:rPr>
          <w:color w:val="000000"/>
          <w:sz w:val="28"/>
          <w:szCs w:val="28"/>
        </w:rPr>
        <w:t xml:space="preserve">Bên cạnh đó, Quyết định số 50/2009/QĐ-UBND </w:t>
      </w:r>
      <w:r>
        <w:rPr>
          <w:color w:val="000000"/>
          <w:sz w:val="28"/>
          <w:szCs w:val="28"/>
          <w:lang w:val="en-US"/>
        </w:rPr>
        <w:t>quy định cơ chế tài chính hỗ trợ sinh hoạt phí cho giáo viên mầm non ngoài biên chế, cho hợp đồng lao động và hỗ trợ kinh phí cho nhân viên làm công tác kế toán, y tế tại trường mầm non bán công, dân lập. Từ đó đến nay, các đối tượng thụ hưởng liên quan tại quy định của Quyết định số 50/2009/QĐ-UBND đã có nhiều biến động qua các đợt điều chỉnh chính sách mới</w:t>
      </w:r>
      <w:r>
        <w:rPr>
          <w:rStyle w:val="18"/>
          <w:color w:val="000000"/>
          <w:sz w:val="28"/>
          <w:szCs w:val="28"/>
          <w:lang w:val="en-US"/>
        </w:rPr>
        <w:footnoteReference w:id="0"/>
      </w:r>
      <w:r>
        <w:rPr>
          <w:color w:val="000000"/>
          <w:sz w:val="28"/>
          <w:szCs w:val="28"/>
          <w:lang w:val="en-US"/>
        </w:rPr>
        <w:t>. Hiện tại, các quy định về tổ chức, nhân sự, chế độ đối với giáo viên, người lao động và hoạt động tài chính của cơ sở giáo dục tiếp tục được điều chỉnh bởi các văn bản pháp luật mới</w:t>
      </w:r>
      <w:r>
        <w:rPr>
          <w:rStyle w:val="18"/>
          <w:color w:val="000000"/>
          <w:sz w:val="28"/>
          <w:szCs w:val="28"/>
          <w:lang w:val="en-US"/>
        </w:rPr>
        <w:footnoteReference w:id="1"/>
      </w:r>
      <w:r>
        <w:rPr>
          <w:color w:val="000000"/>
          <w:sz w:val="28"/>
          <w:szCs w:val="28"/>
          <w:lang w:val="en-US"/>
        </w:rPr>
        <w:t xml:space="preserve">. </w:t>
      </w:r>
    </w:p>
    <w:p w14:paraId="740C67EE">
      <w:pPr>
        <w:spacing w:after="120"/>
        <w:ind w:firstLine="720"/>
        <w:jc w:val="both"/>
        <w:rPr>
          <w:color w:val="000000"/>
          <w:sz w:val="28"/>
          <w:szCs w:val="28"/>
          <w:lang w:val="en-US"/>
        </w:rPr>
      </w:pPr>
      <w:r>
        <w:rPr>
          <w:color w:val="000000"/>
          <w:sz w:val="28"/>
          <w:szCs w:val="28"/>
          <w:lang w:val="en-US"/>
        </w:rPr>
        <w:t xml:space="preserve">Theo quy định tại điểm a, khoản 7 Điều 15 Nhiệm vụ, quyền hạn của Hội đồng nhân dân tỉnh của Luật Tổ chức chính quyền địa phương ngày 16/6/2025 thì “Quyết định chính sách, biện pháp về phát triển sự nghiệp giáo dục, y tế, bảo đảm an sinh xã hội của địa phương theo quy định của pháp luật". Do đó, hiện nay thẩm quyền quy định chính sách trong lĩnh vực giáo dục thuộc HĐND tỉnh, việc UBND tỉnh ban hành Quyết định này là không phù hợp về thẩm quyền. </w:t>
      </w:r>
    </w:p>
    <w:p w14:paraId="4BAF9520">
      <w:pPr>
        <w:spacing w:after="120"/>
        <w:ind w:firstLine="720"/>
        <w:jc w:val="both"/>
        <w:rPr>
          <w:color w:val="000000"/>
          <w:sz w:val="28"/>
          <w:szCs w:val="28"/>
        </w:rPr>
      </w:pPr>
      <w:r>
        <w:rPr>
          <w:color w:val="000000"/>
          <w:sz w:val="28"/>
          <w:szCs w:val="28"/>
          <w:lang w:val="en-US"/>
        </w:rPr>
        <w:t>Như vậy, các quy định tạ</w:t>
      </w:r>
      <w:r>
        <w:rPr>
          <w:sz w:val="28"/>
          <w:szCs w:val="28"/>
          <w:lang w:val="en-US"/>
        </w:rPr>
        <w:t xml:space="preserve">i </w:t>
      </w:r>
      <w:r>
        <w:rPr>
          <w:sz w:val="28"/>
          <w:szCs w:val="28"/>
        </w:rPr>
        <w:t xml:space="preserve">Quyết định số 50/2009/QĐ-UBND </w:t>
      </w:r>
      <w:r>
        <w:rPr>
          <w:sz w:val="28"/>
          <w:szCs w:val="28"/>
          <w:lang w:val="en-US"/>
        </w:rPr>
        <w:t xml:space="preserve">hiện không đúng với thẩm quyền ban hành; không phù hợp với thực tiễn tổ chức, hoạt động của cơ sở giáo dục hiện hành; các </w:t>
      </w:r>
      <w:r>
        <w:rPr>
          <w:sz w:val="28"/>
          <w:szCs w:val="28"/>
        </w:rPr>
        <w:t xml:space="preserve">đối tượng được áp dụng cơ chế tài chính không còn tồn tại như tại thời điểm Quyết </w:t>
      </w:r>
      <w:r>
        <w:rPr>
          <w:color w:val="000000"/>
          <w:sz w:val="28"/>
          <w:szCs w:val="28"/>
        </w:rPr>
        <w:t xml:space="preserve">định </w:t>
      </w:r>
      <w:r>
        <w:rPr>
          <w:sz w:val="28"/>
          <w:szCs w:val="28"/>
        </w:rPr>
        <w:t>được</w:t>
      </w:r>
      <w:r>
        <w:rPr>
          <w:color w:val="000000"/>
          <w:sz w:val="28"/>
          <w:szCs w:val="28"/>
        </w:rPr>
        <w:t xml:space="preserve"> ban hành. Do đó, các</w:t>
      </w:r>
      <w:r>
        <w:rPr>
          <w:color w:val="000000"/>
          <w:sz w:val="28"/>
          <w:szCs w:val="28"/>
          <w:lang w:val="en-US"/>
        </w:rPr>
        <w:t xml:space="preserve"> nội dung</w:t>
      </w:r>
      <w:r>
        <w:rPr>
          <w:color w:val="000000"/>
          <w:sz w:val="28"/>
          <w:szCs w:val="28"/>
        </w:rPr>
        <w:t xml:space="preserve"> quy định tại Quyết định số 50/2009/QĐ-UBND hiện không còn đối tượng và không còn </w:t>
      </w:r>
      <w:r>
        <w:rPr>
          <w:color w:val="000000"/>
          <w:sz w:val="28"/>
          <w:szCs w:val="28"/>
          <w:lang w:val="en-US"/>
        </w:rPr>
        <w:t>giá trị</w:t>
      </w:r>
      <w:r>
        <w:rPr>
          <w:color w:val="000000"/>
          <w:sz w:val="28"/>
          <w:szCs w:val="28"/>
        </w:rPr>
        <w:t xml:space="preserve"> áp dụng trên thực tế.</w:t>
      </w:r>
    </w:p>
    <w:p w14:paraId="77367081">
      <w:pPr>
        <w:spacing w:after="120"/>
        <w:ind w:firstLine="720"/>
        <w:jc w:val="both"/>
        <w:rPr>
          <w:b/>
          <w:bCs/>
          <w:sz w:val="28"/>
          <w:szCs w:val="28"/>
          <w:shd w:val="solid" w:color="FFFFFF" w:fill="auto"/>
        </w:rPr>
      </w:pPr>
      <w:r>
        <w:rPr>
          <w:b/>
          <w:bCs/>
          <w:sz w:val="28"/>
          <w:szCs w:val="28"/>
          <w:lang w:eastAsia="vi-VN"/>
        </w:rPr>
        <w:t>2. Đối với</w:t>
      </w:r>
      <w:r>
        <w:rPr>
          <w:lang w:eastAsia="vi-VN"/>
        </w:rPr>
        <w:t xml:space="preserve"> </w:t>
      </w:r>
      <w:bookmarkStart w:id="2" w:name="_Hlk241067244"/>
      <w:r>
        <w:rPr>
          <w:rStyle w:val="91"/>
          <w:b/>
          <w:bCs/>
          <w:color w:val="000000"/>
          <w:sz w:val="28"/>
          <w:szCs w:val="28"/>
          <w:lang w:eastAsia="vi-VN"/>
        </w:rPr>
        <w:t xml:space="preserve">Quyết định số 35/2012/QĐ-UBND </w:t>
      </w:r>
      <w:bookmarkEnd w:id="2"/>
      <w:r>
        <w:rPr>
          <w:rStyle w:val="91"/>
          <w:b/>
          <w:bCs/>
          <w:color w:val="000000"/>
          <w:sz w:val="28"/>
          <w:szCs w:val="28"/>
          <w:lang w:eastAsia="vi-VN"/>
        </w:rPr>
        <w:t xml:space="preserve">ngày 13/7/2012 của UBND tỉnh Hà Tĩnh về việc ban hành Quy định một số chính sách đối với ngành Giáo dục và Đào tạo (sau đây gọi là Quyết định số 35/2012/QĐ-UBND) </w:t>
      </w:r>
    </w:p>
    <w:p w14:paraId="2B535645">
      <w:pPr>
        <w:spacing w:after="120"/>
        <w:ind w:firstLine="720"/>
        <w:jc w:val="both"/>
        <w:rPr>
          <w:color w:val="000000"/>
          <w:sz w:val="28"/>
          <w:szCs w:val="28"/>
          <w:lang w:val="en-US"/>
        </w:rPr>
      </w:pPr>
      <w:r>
        <w:rPr>
          <w:color w:val="000000"/>
          <w:sz w:val="28"/>
          <w:szCs w:val="28"/>
          <w:shd w:val="clear" w:color="auto" w:fill="FFFFFF"/>
          <w:lang w:eastAsia="vi-VN"/>
        </w:rPr>
        <w:t>Quyết định số 35/2012/QĐ-UBND được ban hành trên cơ sở Luật Tổ chức HĐND và UBND ngày 26/11/2003;</w:t>
      </w:r>
      <w:r>
        <w:rPr>
          <w:color w:val="000000"/>
          <w:sz w:val="28"/>
          <w:szCs w:val="28"/>
          <w:shd w:val="clear" w:color="auto" w:fill="FFFFFF"/>
          <w:lang w:val="en-US" w:eastAsia="vi-VN"/>
        </w:rPr>
        <w:t xml:space="preserve"> Luật </w:t>
      </w:r>
      <w:r>
        <w:rPr>
          <w:color w:val="000000"/>
          <w:sz w:val="28"/>
          <w:szCs w:val="28"/>
          <w:shd w:val="clear" w:color="auto" w:fill="FFFFFF"/>
          <w:lang w:eastAsia="vi-VN"/>
        </w:rPr>
        <w:t>Ban hành văn bản quy phạm pháp luật của HĐND và UBND ngày 03/12/2004;</w:t>
      </w:r>
      <w:r>
        <w:rPr>
          <w:color w:val="000000"/>
          <w:sz w:val="28"/>
          <w:szCs w:val="28"/>
          <w:shd w:val="clear" w:color="auto" w:fill="FFFFFF"/>
          <w:lang w:val="en-US" w:eastAsia="vi-VN"/>
        </w:rPr>
        <w:t xml:space="preserve"> N</w:t>
      </w:r>
      <w:r>
        <w:rPr>
          <w:color w:val="000000"/>
          <w:sz w:val="28"/>
          <w:szCs w:val="28"/>
          <w:shd w:val="clear" w:color="auto" w:fill="FFFFFF"/>
          <w:lang w:eastAsia="vi-VN"/>
        </w:rPr>
        <w:t>ghị quyết số 05-NQTU ngày 20/12/2011 của Ban Chấp hành Đảng bộ tỉnh về việc Phát triển, nâng cao chất lượng giáo dục và đào tạo đến năm 2015 và những năm tiếp theo</w:t>
      </w:r>
      <w:r>
        <w:rPr>
          <w:color w:val="000000"/>
          <w:sz w:val="28"/>
          <w:szCs w:val="28"/>
          <w:shd w:val="clear" w:color="auto" w:fill="FFFFFF"/>
          <w:lang w:val="en-US" w:eastAsia="vi-VN"/>
        </w:rPr>
        <w:t>;</w:t>
      </w:r>
      <w:r>
        <w:rPr>
          <w:color w:val="000000"/>
          <w:sz w:val="28"/>
          <w:szCs w:val="28"/>
          <w:shd w:val="clear" w:color="auto" w:fill="FFFFFF"/>
          <w:lang w:eastAsia="vi-VN"/>
        </w:rPr>
        <w:t xml:space="preserve"> Nghị quyết số 20/2011/NQ-HĐND ngày 16/12/2011 của Hội đồng nhân dân tỉnh khóa XVI về việc “Phê duyệt đề án Phát triển giáo dục và đào tạo đến năm 2015 và những năm tiếp theo”</w:t>
      </w:r>
      <w:r>
        <w:rPr>
          <w:color w:val="000000"/>
          <w:sz w:val="28"/>
          <w:szCs w:val="28"/>
          <w:shd w:val="clear" w:color="auto" w:fill="FFFFFF"/>
          <w:lang w:val="en-US" w:eastAsia="vi-VN"/>
        </w:rPr>
        <w:t xml:space="preserve">. Hiện nay, </w:t>
      </w:r>
      <w:r>
        <w:rPr>
          <w:sz w:val="28"/>
          <w:szCs w:val="28"/>
          <w:lang w:val="en-US"/>
        </w:rPr>
        <w:t>toàn bộ</w:t>
      </w:r>
      <w:r>
        <w:rPr>
          <w:sz w:val="28"/>
          <w:szCs w:val="28"/>
        </w:rPr>
        <w:t xml:space="preserve"> văn bản được sử dụng làm căn cứ ban hành Quyết định số 35/2012/QĐ-UBND đã hết hiệu lực</w:t>
      </w:r>
      <w:r>
        <w:rPr>
          <w:sz w:val="28"/>
          <w:szCs w:val="28"/>
          <w:lang w:val="en-US"/>
        </w:rPr>
        <w:t>,</w:t>
      </w:r>
      <w:r>
        <w:rPr>
          <w:sz w:val="28"/>
          <w:szCs w:val="28"/>
        </w:rPr>
        <w:t xml:space="preserve"> được thay thế</w:t>
      </w:r>
      <w:r>
        <w:rPr>
          <w:sz w:val="28"/>
          <w:szCs w:val="28"/>
          <w:lang w:val="en-US"/>
        </w:rPr>
        <w:t xml:space="preserve"> hoặc bãi bỏ</w:t>
      </w:r>
      <w:r>
        <w:rPr>
          <w:rStyle w:val="18"/>
          <w:sz w:val="28"/>
          <w:szCs w:val="28"/>
        </w:rPr>
        <w:footnoteReference w:id="2"/>
      </w:r>
      <w:r>
        <w:rPr>
          <w:sz w:val="28"/>
          <w:szCs w:val="28"/>
          <w:lang w:val="en-US"/>
        </w:rPr>
        <w:t>.</w:t>
      </w:r>
    </w:p>
    <w:p w14:paraId="27F18B48">
      <w:pPr>
        <w:spacing w:after="120"/>
        <w:ind w:firstLine="720"/>
        <w:jc w:val="both"/>
        <w:rPr>
          <w:color w:val="000000"/>
          <w:sz w:val="28"/>
          <w:szCs w:val="28"/>
          <w:lang w:val="en-US"/>
        </w:rPr>
      </w:pPr>
      <w:r>
        <w:rPr>
          <w:color w:val="000000"/>
          <w:sz w:val="28"/>
          <w:szCs w:val="28"/>
          <w:lang w:val="en-US"/>
        </w:rPr>
        <w:t>Bên cạnh đó, Quyết định số 35/2012 đã được bãi bỏ Điều 2, Điều 3, Điều 4 tại Quyết định sô 41/2019/QĐ-UBND ngày 10/7/2019. Lý do bãi bỏ: Không còn phù hợp với chính sách khuyến khích phát triển nguồn nhân lực chất lượng cao ban hành kèm theo Nghị quyết số 72/2017/NQ-HĐND ngày 13/12/2017 của Hội đồng nhân dân tỉnh. Các nội dung quy định khác của Quyết định số 35/2012/QĐ-UBND hầu hết gắn với mục tiêu phát triển giáo dục đến năm 2015 và mô hình tổ chức, cơ chế quản lý nhà nước trước đây; thực tế, không còn áp dụng trong thực tiễn. Sở GD&amp;ĐT đã tham mưu Hội đồng nhân dân tỉnh ban hành các Nghị quyết quy định chính sách trong các giai đoạn mới</w:t>
      </w:r>
      <w:r>
        <w:rPr>
          <w:rStyle w:val="18"/>
          <w:color w:val="000000"/>
          <w:sz w:val="28"/>
          <w:szCs w:val="28"/>
          <w:lang w:val="en-US"/>
        </w:rPr>
        <w:footnoteReference w:id="3"/>
      </w:r>
      <w:r>
        <w:rPr>
          <w:color w:val="000000"/>
          <w:sz w:val="28"/>
          <w:szCs w:val="28"/>
          <w:lang w:val="en-US"/>
        </w:rPr>
        <w:t>.</w:t>
      </w:r>
    </w:p>
    <w:p w14:paraId="382AA2BE">
      <w:pPr>
        <w:spacing w:after="120"/>
        <w:ind w:firstLine="720"/>
        <w:jc w:val="both"/>
        <w:rPr>
          <w:color w:val="000000"/>
          <w:sz w:val="28"/>
          <w:szCs w:val="28"/>
          <w:lang w:val="en-US"/>
        </w:rPr>
      </w:pPr>
      <w:r>
        <w:rPr>
          <w:color w:val="000000"/>
          <w:sz w:val="28"/>
          <w:szCs w:val="28"/>
          <w:lang w:val="en-US"/>
        </w:rPr>
        <w:t>Mặt khác, theo quy định tại điểm h khoản 9 Điều 31 Luật Ngân sách nhà nước số 89/2025/QH15: "Quyết định cụ thể hoặc giao cho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 khoản 1 Điều 9 Nghị định số 73/2026/NĐ-CP của Chính phủ quy định: "Hội đồng nhân dân cấp tỉnh quyết định cụ thể hoặc giao Ủy ban nhân dân cấp tỉnh quyết định các chế độ, tiêu chuẩn, định mức chi ngân sách địa phương theo quy định tại điểm h khoản 9 Điều 31 của Luật Ngân sách nhà nước; Hội đồng nhân dân cấp tỉnh quyết định các chế độ chi ngân sách để thực hiện nhiệm vụ phát triển kinh tế - xã hội, an sinh xã hội, bảo đảm trật tự, an toàn xã hội trên địa bàn theo quy định tại điểm l khoản 9 Điều 31 của Luật Ngân sách nhà nước". Hiện nay, HĐND tỉnh không giao UBND tỉnh quy định, vì vậy Quyết định số 35/2012/QĐ-UBND không đúng thẩm quyền theo Luật Ngân sách số 89/2025/QH15, Nghị định số 73/2025/NĐ-CP.</w:t>
      </w:r>
    </w:p>
    <w:p w14:paraId="3AB30DE3">
      <w:pPr>
        <w:spacing w:after="120"/>
        <w:ind w:firstLine="720"/>
        <w:jc w:val="both"/>
        <w:rPr>
          <w:bCs/>
          <w:iCs/>
          <w:sz w:val="28"/>
          <w:szCs w:val="28"/>
          <w:lang w:val="en-US"/>
        </w:rPr>
      </w:pPr>
      <w:r>
        <w:rPr>
          <w:bCs/>
          <w:iCs/>
          <w:sz w:val="28"/>
          <w:szCs w:val="28"/>
          <w:lang w:val="en-US"/>
        </w:rPr>
        <w:t xml:space="preserve">Như vậy, căn cứ cơ sở pháp lý và giá trị ứng dụng thực tiễn, Quyết định số 35/2012/QĐ-UBND không còn giá trị áp dụng trong thực tế. </w:t>
      </w:r>
    </w:p>
    <w:p w14:paraId="3C4ACDCE">
      <w:pPr>
        <w:spacing w:after="120"/>
        <w:ind w:firstLine="720"/>
        <w:jc w:val="both"/>
        <w:rPr>
          <w:color w:val="000000"/>
          <w:sz w:val="28"/>
          <w:szCs w:val="28"/>
          <w:lang w:val="en-US"/>
        </w:rPr>
      </w:pPr>
      <w:r>
        <w:rPr>
          <w:color w:val="000000"/>
          <w:sz w:val="28"/>
          <w:szCs w:val="28"/>
          <w:lang w:val="en-US"/>
        </w:rPr>
        <w:t xml:space="preserve">Căn cứ điểm a, khoản 1, Điều 38 Nghị định số 79/2025/NĐ-CP ngày 01/4/2025 về kiểm tra, rà soát, hệ thống hoá và xử lý văn bản quy phạm pháp luật, việc bãi bỏ toàn bộ Quyết định số 50/2009/QĐ-UBND và </w:t>
      </w:r>
      <w:r>
        <w:rPr>
          <w:bCs/>
          <w:iCs/>
          <w:sz w:val="28"/>
          <w:szCs w:val="28"/>
        </w:rPr>
        <w:t>Quyết định số 35/2012/QĐ-UBND là cần thiết, nhằm bảo đảm tính hợp hiến, hợp pháp, thống nhất và đồng bộ của hệ thống pháp luật</w:t>
      </w:r>
      <w:r>
        <w:rPr>
          <w:bCs/>
          <w:iCs/>
          <w:sz w:val="28"/>
          <w:szCs w:val="28"/>
          <w:lang w:val="en-US"/>
        </w:rPr>
        <w:t>.</w:t>
      </w:r>
    </w:p>
    <w:p w14:paraId="05CC83DA">
      <w:pPr>
        <w:spacing w:after="120"/>
        <w:ind w:firstLine="720"/>
        <w:jc w:val="both"/>
        <w:rPr>
          <w:b/>
          <w:bCs/>
          <w:sz w:val="28"/>
          <w:szCs w:val="28"/>
        </w:rPr>
      </w:pPr>
      <w:r>
        <w:rPr>
          <w:b/>
          <w:bCs/>
          <w:sz w:val="28"/>
          <w:szCs w:val="28"/>
        </w:rPr>
        <w:t xml:space="preserve">II. </w:t>
      </w:r>
      <w:r>
        <w:rPr>
          <w:b/>
          <w:bCs/>
          <w:sz w:val="28"/>
          <w:szCs w:val="28"/>
          <w:lang w:val="en-US"/>
        </w:rPr>
        <w:t xml:space="preserve">PHẠM VI ĐIỀU CHỈNH VÀ ĐỐI TƯỢNG ÁP DỤNG </w:t>
      </w:r>
    </w:p>
    <w:p w14:paraId="5A110714">
      <w:pPr>
        <w:spacing w:after="120"/>
        <w:ind w:firstLine="720"/>
        <w:jc w:val="both"/>
        <w:rPr>
          <w:b/>
          <w:bCs/>
          <w:color w:val="000000"/>
          <w:sz w:val="28"/>
          <w:szCs w:val="28"/>
        </w:rPr>
      </w:pPr>
      <w:r>
        <w:rPr>
          <w:b/>
          <w:bCs/>
          <w:color w:val="000000"/>
          <w:sz w:val="28"/>
          <w:szCs w:val="28"/>
        </w:rPr>
        <w:t>1. Phạm vi điều chỉnh</w:t>
      </w:r>
    </w:p>
    <w:p w14:paraId="2E4C5674">
      <w:pPr>
        <w:spacing w:after="120"/>
        <w:ind w:firstLine="720"/>
        <w:jc w:val="both"/>
        <w:rPr>
          <w:spacing w:val="-4"/>
          <w:sz w:val="28"/>
          <w:szCs w:val="28"/>
          <w:lang w:val="en-US"/>
        </w:rPr>
      </w:pPr>
      <w:r>
        <w:rPr>
          <w:sz w:val="28"/>
          <w:szCs w:val="28"/>
        </w:rPr>
        <w:t>Quyết định này bãi bỏ</w:t>
      </w:r>
      <w:r>
        <w:rPr>
          <w:sz w:val="28"/>
          <w:szCs w:val="28"/>
          <w:lang w:val="en-US"/>
        </w:rPr>
        <w:t xml:space="preserve"> toàn bộ</w:t>
      </w:r>
      <w:r>
        <w:rPr>
          <w:sz w:val="28"/>
          <w:szCs w:val="28"/>
        </w:rPr>
        <w:t xml:space="preserve"> </w:t>
      </w:r>
      <w:r>
        <w:rPr>
          <w:spacing w:val="-4"/>
          <w:sz w:val="28"/>
          <w:szCs w:val="28"/>
        </w:rPr>
        <w:t>Quyết định số 50/2009/QĐ-UBND ngày 30/12/2009 của UBND tỉnh Hà Tĩnh về việc hỗ trợ sinh hoạt phí cho giáo viên mầm non ngoài biên chế, cho hợp đồng lao động và hỗ trợ kinh phí cho nhân viên làm công tác kế toán, y tế tại trường mầm non bán công, dân lập; Quyết định số 35/2012/QĐ-UBND ngày 13/7/2012 của UBND tỉnh Hà Tĩnh về việc ban hành Quy định một số chính sách đối với ngành Giáo dục và Đào tạo</w:t>
      </w:r>
    </w:p>
    <w:p w14:paraId="199C58C6">
      <w:pPr>
        <w:spacing w:after="120"/>
        <w:ind w:firstLine="720"/>
        <w:jc w:val="both"/>
        <w:rPr>
          <w:b/>
          <w:bCs/>
          <w:color w:val="000000"/>
          <w:sz w:val="28"/>
          <w:szCs w:val="28"/>
        </w:rPr>
      </w:pPr>
      <w:r>
        <w:rPr>
          <w:b/>
          <w:bCs/>
          <w:color w:val="000000"/>
          <w:sz w:val="28"/>
          <w:szCs w:val="28"/>
        </w:rPr>
        <w:t>2. Đối tượng áp dụng</w:t>
      </w:r>
    </w:p>
    <w:p w14:paraId="25140E3D">
      <w:pPr>
        <w:spacing w:after="120"/>
        <w:ind w:firstLine="720"/>
        <w:jc w:val="both"/>
        <w:rPr>
          <w:sz w:val="28"/>
          <w:szCs w:val="28"/>
        </w:rPr>
      </w:pPr>
      <w:r>
        <w:rPr>
          <w:sz w:val="28"/>
          <w:szCs w:val="28"/>
        </w:rPr>
        <w:t>- Sở, ban, ngành cấp tỉnh;</w:t>
      </w:r>
    </w:p>
    <w:p w14:paraId="0D7304B8">
      <w:pPr>
        <w:spacing w:after="120"/>
        <w:ind w:firstLine="720"/>
        <w:jc w:val="both"/>
        <w:rPr>
          <w:sz w:val="28"/>
          <w:szCs w:val="28"/>
        </w:rPr>
      </w:pPr>
      <w:r>
        <w:rPr>
          <w:sz w:val="28"/>
          <w:szCs w:val="28"/>
        </w:rPr>
        <w:t>- Ủy ban nhân dân các phường, xã;</w:t>
      </w:r>
    </w:p>
    <w:p w14:paraId="6D690A24">
      <w:pPr>
        <w:spacing w:after="120"/>
        <w:ind w:firstLine="720"/>
        <w:jc w:val="both"/>
        <w:rPr>
          <w:sz w:val="28"/>
          <w:szCs w:val="28"/>
        </w:rPr>
      </w:pPr>
      <w:r>
        <w:rPr>
          <w:sz w:val="28"/>
          <w:szCs w:val="28"/>
        </w:rPr>
        <w:t xml:space="preserve">- Các </w:t>
      </w:r>
      <w:r>
        <w:rPr>
          <w:sz w:val="28"/>
          <w:szCs w:val="28"/>
          <w:lang w:val="en-US"/>
        </w:rPr>
        <w:t>cơ sở giáo dục trên địa bàn tỉnh</w:t>
      </w:r>
      <w:r>
        <w:rPr>
          <w:sz w:val="28"/>
          <w:szCs w:val="28"/>
        </w:rPr>
        <w:t xml:space="preserve">. </w:t>
      </w:r>
    </w:p>
    <w:p w14:paraId="58FE67EC">
      <w:pPr>
        <w:widowControl w:val="0"/>
        <w:spacing w:after="120"/>
        <w:ind w:firstLine="709"/>
        <w:jc w:val="both"/>
        <w:rPr>
          <w:b/>
          <w:bCs/>
          <w:sz w:val="28"/>
          <w:szCs w:val="28"/>
        </w:rPr>
      </w:pPr>
      <w:r>
        <w:rPr>
          <w:b/>
          <w:bCs/>
          <w:sz w:val="28"/>
          <w:szCs w:val="28"/>
        </w:rPr>
        <w:t xml:space="preserve">III. </w:t>
      </w:r>
      <w:r>
        <w:rPr>
          <w:b/>
          <w:bCs/>
          <w:sz w:val="28"/>
          <w:szCs w:val="28"/>
          <w:lang w:val="en-US"/>
        </w:rPr>
        <w:t xml:space="preserve">NỘI DUNG CHÍNH CỦA DỰ THẢO VĂN BẢN </w:t>
      </w:r>
    </w:p>
    <w:p w14:paraId="73B03F9F">
      <w:pPr>
        <w:widowControl w:val="0"/>
        <w:spacing w:after="120"/>
        <w:ind w:firstLine="720"/>
        <w:jc w:val="both"/>
        <w:rPr>
          <w:sz w:val="28"/>
          <w:szCs w:val="28"/>
          <w:shd w:val="solid" w:color="FFFFFF" w:fill="auto"/>
        </w:rPr>
      </w:pPr>
      <w:r>
        <w:rPr>
          <w:sz w:val="28"/>
          <w:szCs w:val="28"/>
          <w:shd w:val="solid" w:color="FFFFFF" w:fill="auto"/>
        </w:rPr>
        <w:t>Quyết định bãi bỏ</w:t>
      </w:r>
      <w:r>
        <w:rPr>
          <w:sz w:val="28"/>
          <w:szCs w:val="28"/>
          <w:shd w:val="solid" w:color="FFFFFF" w:fill="auto"/>
          <w:lang w:val="en-US"/>
        </w:rPr>
        <w:t xml:space="preserve"> toàn bộ</w:t>
      </w:r>
      <w:r>
        <w:rPr>
          <w:sz w:val="28"/>
          <w:szCs w:val="28"/>
          <w:shd w:val="solid" w:color="FFFFFF" w:fill="auto"/>
        </w:rPr>
        <w:t xml:space="preserve"> </w:t>
      </w:r>
      <w:r>
        <w:rPr>
          <w:sz w:val="28"/>
          <w:szCs w:val="28"/>
          <w:shd w:val="solid" w:color="FFFFFF" w:fill="auto"/>
          <w:lang w:val="en-US"/>
        </w:rPr>
        <w:t>các</w:t>
      </w:r>
      <w:r>
        <w:rPr>
          <w:sz w:val="28"/>
          <w:szCs w:val="28"/>
          <w:shd w:val="solid" w:color="FFFFFF" w:fill="auto"/>
        </w:rPr>
        <w:t xml:space="preserve"> quyết định quy phạm pháp luật của Ủy ban nhân dân tỉnh thuộc lĩnh vực </w:t>
      </w:r>
      <w:r>
        <w:rPr>
          <w:sz w:val="28"/>
          <w:szCs w:val="28"/>
          <w:shd w:val="solid" w:color="FFFFFF" w:fill="auto"/>
          <w:lang w:val="en-US"/>
        </w:rPr>
        <w:t>giáo dục và đào tạo</w:t>
      </w:r>
      <w:r>
        <w:rPr>
          <w:sz w:val="28"/>
          <w:szCs w:val="28"/>
          <w:shd w:val="solid" w:color="FFFFFF" w:fill="auto"/>
        </w:rPr>
        <w:t>. Gồm 2 điều, cụ thể:</w:t>
      </w:r>
    </w:p>
    <w:p w14:paraId="4B85BBC2">
      <w:pPr>
        <w:widowControl w:val="0"/>
        <w:spacing w:after="120"/>
        <w:ind w:firstLine="720"/>
        <w:jc w:val="both"/>
        <w:rPr>
          <w:sz w:val="28"/>
          <w:szCs w:val="28"/>
          <w:shd w:val="solid" w:color="FFFFFF" w:fill="auto"/>
          <w:lang w:val="en-US"/>
        </w:rPr>
      </w:pPr>
      <w:r>
        <w:rPr>
          <w:sz w:val="28"/>
          <w:szCs w:val="28"/>
          <w:shd w:val="solid" w:color="FFFFFF" w:fill="auto"/>
          <w:lang w:val="en-US"/>
        </w:rPr>
        <w:t>Điều 1. Bãi bỏ toàn bộ các quyết định quy phạm pháp luật của Ủy ban nhân dân tỉnh thuộc lĩnh vực giáo dục và đào tạo.</w:t>
      </w:r>
    </w:p>
    <w:p w14:paraId="1E873CB9">
      <w:pPr>
        <w:widowControl w:val="0"/>
        <w:spacing w:after="120"/>
        <w:ind w:firstLine="720"/>
        <w:jc w:val="both"/>
        <w:rPr>
          <w:sz w:val="28"/>
          <w:szCs w:val="28"/>
          <w:shd w:val="solid" w:color="FFFFFF" w:fill="auto"/>
          <w:lang w:val="en-US"/>
        </w:rPr>
      </w:pPr>
      <w:r>
        <w:rPr>
          <w:sz w:val="28"/>
          <w:szCs w:val="28"/>
          <w:shd w:val="solid" w:color="FFFFFF" w:fill="auto"/>
          <w:lang w:val="en-US"/>
        </w:rPr>
        <w:t>Điều 2. Điều khoản thi hành.</w:t>
      </w:r>
    </w:p>
    <w:p w14:paraId="0F53D12A">
      <w:pPr>
        <w:widowControl w:val="0"/>
        <w:spacing w:after="120"/>
        <w:jc w:val="both"/>
        <w:rPr>
          <w:b/>
          <w:bCs/>
          <w:color w:val="000000"/>
          <w:sz w:val="28"/>
          <w:szCs w:val="28"/>
          <w:lang w:val="en-US"/>
        </w:rPr>
      </w:pPr>
      <w:r>
        <w:rPr>
          <w:b/>
          <w:bCs/>
          <w:color w:val="000000"/>
          <w:sz w:val="28"/>
          <w:szCs w:val="28"/>
        </w:rPr>
        <w:tab/>
      </w:r>
      <w:r>
        <w:rPr>
          <w:b/>
          <w:bCs/>
          <w:color w:val="000000"/>
          <w:sz w:val="28"/>
          <w:szCs w:val="28"/>
        </w:rPr>
        <w:t>IV. C</w:t>
      </w:r>
      <w:r>
        <w:rPr>
          <w:b/>
          <w:bCs/>
          <w:color w:val="000000"/>
          <w:sz w:val="28"/>
          <w:szCs w:val="28"/>
          <w:lang w:val="en-US"/>
        </w:rPr>
        <w:t xml:space="preserve">Ơ QUAN CHỦ TRÌ SOẠN THẢO VĂN BẢN </w:t>
      </w:r>
    </w:p>
    <w:p w14:paraId="56A986F6">
      <w:pPr>
        <w:widowControl w:val="0"/>
        <w:spacing w:after="120"/>
        <w:ind w:firstLine="720"/>
        <w:jc w:val="both"/>
        <w:rPr>
          <w:b/>
          <w:bCs/>
          <w:color w:val="000000"/>
          <w:sz w:val="28"/>
          <w:szCs w:val="28"/>
        </w:rPr>
      </w:pPr>
      <w:r>
        <w:rPr>
          <w:color w:val="000000"/>
          <w:sz w:val="28"/>
          <w:szCs w:val="28"/>
          <w:lang w:val="en-US"/>
        </w:rPr>
        <w:t>Sở Giáo dục và Đào tạo</w:t>
      </w:r>
      <w:r>
        <w:rPr>
          <w:color w:val="000000"/>
          <w:sz w:val="28"/>
          <w:szCs w:val="28"/>
        </w:rPr>
        <w:t>.</w:t>
      </w:r>
    </w:p>
    <w:p w14:paraId="22CF4130">
      <w:pPr>
        <w:widowControl w:val="0"/>
        <w:spacing w:after="120"/>
        <w:ind w:firstLine="720"/>
        <w:jc w:val="both"/>
        <w:rPr>
          <w:b/>
          <w:bCs/>
          <w:color w:val="000000"/>
          <w:sz w:val="28"/>
          <w:szCs w:val="28"/>
          <w:lang w:val="en-US"/>
        </w:rPr>
      </w:pPr>
      <w:r>
        <w:rPr>
          <w:b/>
          <w:bCs/>
          <w:color w:val="000000"/>
          <w:sz w:val="28"/>
          <w:szCs w:val="28"/>
        </w:rPr>
        <w:t xml:space="preserve">V. </w:t>
      </w:r>
      <w:r>
        <w:rPr>
          <w:b/>
          <w:bCs/>
          <w:color w:val="000000"/>
          <w:sz w:val="28"/>
          <w:szCs w:val="28"/>
          <w:lang w:val="en-US"/>
        </w:rPr>
        <w:t>DỰ KIẾN THỜI GIAN BAN HÀNH</w:t>
      </w:r>
    </w:p>
    <w:p w14:paraId="6EBD0F04">
      <w:pPr>
        <w:widowControl w:val="0"/>
        <w:spacing w:after="120"/>
        <w:ind w:firstLine="720"/>
        <w:jc w:val="both"/>
        <w:rPr>
          <w:b/>
          <w:bCs/>
          <w:color w:val="000000"/>
          <w:sz w:val="28"/>
          <w:szCs w:val="28"/>
        </w:rPr>
      </w:pPr>
      <w:r>
        <w:rPr>
          <w:color w:val="000000"/>
          <w:sz w:val="28"/>
          <w:szCs w:val="28"/>
        </w:rPr>
        <w:t xml:space="preserve">Trong </w:t>
      </w:r>
      <w:r>
        <w:rPr>
          <w:color w:val="000000"/>
          <w:sz w:val="28"/>
          <w:szCs w:val="28"/>
          <w:lang w:val="en-US"/>
        </w:rPr>
        <w:t>Quý IV</w:t>
      </w:r>
      <w:r>
        <w:rPr>
          <w:color w:val="000000"/>
          <w:sz w:val="28"/>
          <w:szCs w:val="28"/>
        </w:rPr>
        <w:t xml:space="preserve"> năm 2026.</w:t>
      </w:r>
    </w:p>
    <w:p w14:paraId="3005D3B3">
      <w:pPr>
        <w:widowControl w:val="0"/>
        <w:spacing w:after="120"/>
        <w:ind w:firstLine="794"/>
        <w:jc w:val="both"/>
        <w:rPr>
          <w:color w:val="000000"/>
          <w:sz w:val="28"/>
          <w:szCs w:val="28"/>
        </w:rPr>
      </w:pPr>
      <w:r>
        <w:rPr>
          <w:color w:val="000000"/>
          <w:sz w:val="28"/>
          <w:szCs w:val="28"/>
          <w:lang w:val="en-US"/>
        </w:rPr>
        <w:t>Sở Giáo dục và Đào tạo</w:t>
      </w:r>
      <w:r>
        <w:rPr>
          <w:color w:val="000000"/>
          <w:sz w:val="28"/>
          <w:szCs w:val="28"/>
        </w:rPr>
        <w:t xml:space="preserve"> kính đề nghị Chủ tịch Ủy ban nhân dân tỉnh </w:t>
      </w:r>
      <w:r>
        <w:rPr>
          <w:color w:val="000000"/>
          <w:sz w:val="28"/>
          <w:szCs w:val="28"/>
          <w:lang w:val="en-US"/>
        </w:rPr>
        <w:t xml:space="preserve">quan tâm, </w:t>
      </w:r>
      <w:r>
        <w:rPr>
          <w:color w:val="000000"/>
          <w:sz w:val="28"/>
          <w:szCs w:val="28"/>
        </w:rPr>
        <w:t>xem xét./.</w:t>
      </w:r>
    </w:p>
    <w:p w14:paraId="6FDD4BC6">
      <w:pPr>
        <w:ind w:firstLine="709"/>
        <w:jc w:val="both"/>
        <w:rPr>
          <w:sz w:val="2"/>
          <w:szCs w:val="28"/>
        </w:rPr>
      </w:pPr>
    </w:p>
    <w:tbl>
      <w:tblPr>
        <w:tblStyle w:val="9"/>
        <w:tblW w:w="0" w:type="auto"/>
        <w:tblInd w:w="108" w:type="dxa"/>
        <w:tblLayout w:type="autofit"/>
        <w:tblCellMar>
          <w:top w:w="0" w:type="dxa"/>
          <w:left w:w="108" w:type="dxa"/>
          <w:bottom w:w="0" w:type="dxa"/>
          <w:right w:w="108" w:type="dxa"/>
        </w:tblCellMar>
      </w:tblPr>
      <w:tblGrid>
        <w:gridCol w:w="4760"/>
        <w:gridCol w:w="4204"/>
      </w:tblGrid>
      <w:tr w14:paraId="563F7424">
        <w:tblPrEx>
          <w:tblCellMar>
            <w:top w:w="0" w:type="dxa"/>
            <w:left w:w="108" w:type="dxa"/>
            <w:bottom w:w="0" w:type="dxa"/>
            <w:right w:w="108" w:type="dxa"/>
          </w:tblCellMar>
        </w:tblPrEx>
        <w:trPr>
          <w:trHeight w:val="2402" w:hRule="atLeast"/>
        </w:trPr>
        <w:tc>
          <w:tcPr>
            <w:tcW w:w="4760" w:type="dxa"/>
          </w:tcPr>
          <w:p w14:paraId="386545B0">
            <w:pPr>
              <w:ind w:left="-108"/>
              <w:rPr>
                <w:b/>
                <w:i/>
                <w:lang w:val="it-IT"/>
              </w:rPr>
            </w:pPr>
            <w:r>
              <w:rPr>
                <w:b/>
                <w:i/>
                <w:lang w:val="it-IT"/>
              </w:rPr>
              <w:t>Nơi nhận:</w:t>
            </w:r>
          </w:p>
          <w:p w14:paraId="202F3ABE">
            <w:pPr>
              <w:ind w:left="-108"/>
              <w:rPr>
                <w:sz w:val="22"/>
              </w:rPr>
            </w:pPr>
            <w:r>
              <w:rPr>
                <w:sz w:val="22"/>
                <w:lang w:val="it-IT"/>
              </w:rPr>
              <w:t>- Như trên;</w:t>
            </w:r>
          </w:p>
          <w:p w14:paraId="7457B648">
            <w:pPr>
              <w:ind w:left="-108"/>
              <w:rPr>
                <w:sz w:val="22"/>
              </w:rPr>
            </w:pPr>
            <w:r>
              <w:rPr>
                <w:sz w:val="22"/>
              </w:rPr>
              <w:t>- Sở Tư pháp;</w:t>
            </w:r>
          </w:p>
          <w:p w14:paraId="2416CB56">
            <w:pPr>
              <w:ind w:left="-108"/>
              <w:rPr>
                <w:sz w:val="22"/>
                <w:lang w:val="it-IT"/>
              </w:rPr>
            </w:pPr>
            <w:r>
              <w:rPr>
                <w:sz w:val="22"/>
                <w:lang w:val="it-IT"/>
              </w:rPr>
              <w:t>- Giám đốc, các Phó Giám đốc;</w:t>
            </w:r>
          </w:p>
          <w:p w14:paraId="32CDBA7E">
            <w:pPr>
              <w:ind w:left="-108"/>
              <w:rPr>
                <w:sz w:val="22"/>
                <w:lang w:val="it-IT"/>
              </w:rPr>
            </w:pPr>
            <w:r>
              <w:rPr>
                <w:sz w:val="22"/>
                <w:lang w:val="it-IT"/>
              </w:rPr>
              <w:t>- Trưởng các phòng thuộc Sở;</w:t>
            </w:r>
          </w:p>
          <w:p w14:paraId="1DBF1E19">
            <w:pPr>
              <w:ind w:left="-108"/>
              <w:rPr>
                <w:vertAlign w:val="subscript"/>
                <w:lang w:val="en-US"/>
              </w:rPr>
            </w:pPr>
            <w:r>
              <w:rPr>
                <w:sz w:val="22"/>
                <w:lang w:val="it-IT"/>
              </w:rPr>
              <w:t>- Lưu: VT, VP.</w:t>
            </w:r>
          </w:p>
        </w:tc>
        <w:tc>
          <w:tcPr>
            <w:tcW w:w="4204" w:type="dxa"/>
          </w:tcPr>
          <w:p w14:paraId="5866B9C0">
            <w:pPr>
              <w:jc w:val="center"/>
              <w:rPr>
                <w:b/>
                <w:sz w:val="28"/>
                <w:szCs w:val="28"/>
                <w:lang w:val="it-IT"/>
              </w:rPr>
            </w:pPr>
            <w:r>
              <w:rPr>
                <w:b/>
                <w:sz w:val="28"/>
                <w:szCs w:val="28"/>
                <w:lang w:val="it-IT"/>
              </w:rPr>
              <w:t>KT. GIÁM ĐỐC</w:t>
            </w:r>
          </w:p>
          <w:p w14:paraId="77F0D230">
            <w:pPr>
              <w:jc w:val="center"/>
              <w:rPr>
                <w:b/>
                <w:sz w:val="28"/>
                <w:szCs w:val="28"/>
                <w:lang w:val="it-IT"/>
              </w:rPr>
            </w:pPr>
            <w:r>
              <w:rPr>
                <w:b/>
                <w:sz w:val="28"/>
                <w:szCs w:val="28"/>
                <w:lang w:val="it-IT"/>
              </w:rPr>
              <w:t xml:space="preserve"> PHÓ GIÁM ĐỐC</w:t>
            </w:r>
          </w:p>
          <w:p w14:paraId="6CBC7AAA">
            <w:pPr>
              <w:jc w:val="center"/>
              <w:rPr>
                <w:b/>
                <w:sz w:val="28"/>
                <w:szCs w:val="28"/>
                <w:lang w:val="it-IT"/>
              </w:rPr>
            </w:pPr>
            <w:r>
              <w:rPr>
                <w:b/>
                <w:sz w:val="28"/>
                <w:szCs w:val="28"/>
                <w:lang w:val="it-IT"/>
              </w:rPr>
              <w:t xml:space="preserve">       </w:t>
            </w:r>
          </w:p>
          <w:p w14:paraId="15BAB615">
            <w:pPr>
              <w:jc w:val="center"/>
              <w:rPr>
                <w:b/>
                <w:sz w:val="28"/>
                <w:szCs w:val="28"/>
                <w:lang w:val="it-IT"/>
              </w:rPr>
            </w:pPr>
          </w:p>
          <w:p w14:paraId="36E813E1">
            <w:pPr>
              <w:jc w:val="center"/>
              <w:rPr>
                <w:b/>
                <w:sz w:val="28"/>
                <w:szCs w:val="28"/>
                <w:lang w:val="it-IT"/>
              </w:rPr>
            </w:pPr>
          </w:p>
          <w:p w14:paraId="004F66D3">
            <w:pPr>
              <w:jc w:val="center"/>
              <w:rPr>
                <w:b/>
                <w:sz w:val="28"/>
                <w:szCs w:val="28"/>
                <w:lang w:val="it-IT"/>
              </w:rPr>
            </w:pPr>
          </w:p>
          <w:p w14:paraId="01285618">
            <w:pPr>
              <w:jc w:val="center"/>
              <w:rPr>
                <w:b/>
                <w:sz w:val="28"/>
                <w:szCs w:val="28"/>
                <w:lang w:val="it-IT"/>
              </w:rPr>
            </w:pPr>
          </w:p>
          <w:p w14:paraId="1AAC121C">
            <w:pPr>
              <w:spacing w:before="120"/>
              <w:jc w:val="center"/>
              <w:rPr>
                <w:b/>
                <w:sz w:val="28"/>
                <w:szCs w:val="28"/>
                <w:lang w:val="en-US"/>
              </w:rPr>
            </w:pPr>
            <w:r>
              <w:rPr>
                <w:b/>
                <w:sz w:val="28"/>
                <w:szCs w:val="28"/>
                <w:lang w:val="it-IT"/>
              </w:rPr>
              <w:t>Nguyễn Hồng Cường</w:t>
            </w:r>
          </w:p>
        </w:tc>
      </w:tr>
    </w:tbl>
    <w:p w14:paraId="5B577D37">
      <w:pPr>
        <w:jc w:val="center"/>
        <w:rPr>
          <w:b/>
          <w:sz w:val="28"/>
          <w:szCs w:val="28"/>
        </w:rPr>
      </w:pPr>
    </w:p>
    <w:sectPr>
      <w:headerReference r:id="rId5" w:type="default"/>
      <w:pgSz w:w="11907" w:h="16840"/>
      <w:pgMar w:top="1134" w:right="1134" w:bottom="1134" w:left="1701"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nTimeH">
    <w:altName w:val="Times New Roman"/>
    <w:panose1 w:val="00000000000000000000"/>
    <w:charset w:val="00"/>
    <w:family w:val="swiss"/>
    <w:pitch w:val="default"/>
    <w:sig w:usb0="00000000" w:usb1="00000000" w:usb2="00000000" w:usb3="00000000" w:csb0="00000013" w:csb1="00000000"/>
  </w:font>
  <w:font w:name="Cambria">
    <w:panose1 w:val="02040503050406030204"/>
    <w:charset w:val="00"/>
    <w:family w:val="roman"/>
    <w:pitch w:val="default"/>
    <w:sig w:usb0="E00006FF" w:usb1="420024FF" w:usb2="02000000" w:usb3="00000000" w:csb0="2000019F" w:csb1="00000000"/>
  </w:font>
  <w:font w:name=".VnTime">
    <w:altName w:val="Times New Roman"/>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Yu Gothic">
    <w:panose1 w:val="020B0400000000000000"/>
    <w:charset w:val="80"/>
    <w:family w:val="swiss"/>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14:paraId="422EE22F">
      <w:pPr>
        <w:pStyle w:val="19"/>
        <w:jc w:val="both"/>
      </w:pPr>
      <w:r>
        <w:rPr>
          <w:rStyle w:val="18"/>
        </w:rPr>
        <w:footnoteRef/>
      </w:r>
      <w:r>
        <w:t xml:space="preserve"> Ngày 18/01/2013, UBND tỉnh ban hành Quyết định số 240/QĐ-UBND Quy định và phê duyệt chỉ tiêu hợp đồng lao động làm nhiệm vụ kế toán và nhân viên y tế tại các trường mầm non công lập (và một số vị trí hỗ trợ, phục vụ trường học) trên địa bàn tỉnh Hà Tĩnh. Quá trình thực hiện &amp; quyền lợi, Các nhân viên theo quyết định này hưởng mức lương và chế độ hợp đồng theo quy định của tỉnh. Ngày 09/7/2013, UBND tỉnh ban hành Quyết định số 2059/QĐ-UBND về việc Quy định chế độ, chính sách đối với giáo viên làm việc theo chế độ hợp đồng lao động tại các trường mầm non công lập, bán công, dân lập, tư thục trên địa bàn Hà Tĩnh. Theo đó, có 612 giáo viên đã ký hợp đồng lao động trước ngày 31/12/2015, có đóng bảo hiểm xã hội bắt buộc theo quy định của Luật Bảo hiểm xã hội, có năng lực, trình độ phù hợp với yêu cầu vị trí cần tuyển dụng vào làm việc tại các đơn vị sự nghiệp công lập. Trong giai đoạn sau (năm 2018–2020), tỉnh Hà Tĩnh đã thực hiện rà soát, bổ sung biên chế và ban hành các chính sách trợ cấp, đào tạo lại, cũng như chuyển đổi vị trí hoặc tuyển dụng xét tuyển vào viên chức đối với những trường hợp đủ điều kiện làm việc lâu dài. </w:t>
      </w:r>
    </w:p>
  </w:footnote>
  <w:footnote w:id="1">
    <w:p w14:paraId="24F592C5">
      <w:pPr>
        <w:pStyle w:val="19"/>
        <w:jc w:val="both"/>
      </w:pPr>
      <w:r>
        <w:rPr>
          <w:rStyle w:val="18"/>
        </w:rPr>
        <w:footnoteRef/>
      </w:r>
      <w:r>
        <w:t xml:space="preserve"> Thông tư 19/2023/TT-BGDĐT quy định về vị trí việc làm, cơ cấu viên chức và định mức số lượng người làm việc; nghị định 105/2020/NĐ-CP ngày 08/9/200 quy định chính sách phát triển giáo dục mầm non; Nghị định số 238/2025/NĐ-CP ngày 03/9/2025 của Chính phủ Quy định về chính sách học phí, miễn, giảm, hỗ trợ học phí, hỗ trợ chi phí học tập và giá dịch vụ trong lĩnh vực giáo dục, đào tạo;…</w:t>
      </w:r>
    </w:p>
  </w:footnote>
  <w:footnote w:id="2">
    <w:p w14:paraId="5907D824">
      <w:pPr>
        <w:pStyle w:val="19"/>
        <w:jc w:val="both"/>
      </w:pPr>
      <w:r>
        <w:rPr>
          <w:rStyle w:val="18"/>
        </w:rPr>
        <w:footnoteRef/>
      </w:r>
      <w:r>
        <w:t xml:space="preserve"> Nghị quyết số 20/2011/NQ-HĐND đã bãi bỏ tại Nghị quyết số 96/2018/NQ-HĐND của HĐND tỉnh, Lý do bãi bỏ: Thực tế không thực hiện được do không cân đối được nguồn kinh phí. </w:t>
      </w:r>
    </w:p>
  </w:footnote>
  <w:footnote w:id="3">
    <w:p w14:paraId="453D02EE">
      <w:pPr>
        <w:pStyle w:val="19"/>
        <w:jc w:val="both"/>
      </w:pPr>
      <w:r>
        <w:rPr>
          <w:rStyle w:val="18"/>
        </w:rPr>
        <w:footnoteRef/>
      </w:r>
      <w:r>
        <w:t xml:space="preserve"> Nghị quyết 96/2018/NQ-HĐND về phát triển giáo dục mầm non và phổ thông tỉnh Hà Tĩnh đến năm 2025 và những năm tiếp theo; được sửa đổi, bổ sung bởi Nghị quyết số 92/2022/NQ-HĐND ngày 16/12/2022 và Nghị quyết số 178/2025/NQ-HĐND ngày 10/12/2025. Hiện nay, Sở tiếp tục tham mưu tỉnh ban hành Đề án và các Nghị quyết thay thế quy định một số chính sách của ngành giáo dục và đào tạo trong giai đoạn mới (2026-2030).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0742018"/>
      <w:docPartObj>
        <w:docPartGallery w:val="AutoText"/>
      </w:docPartObj>
    </w:sdtPr>
    <w:sdtContent>
      <w:p w14:paraId="0BD55E30">
        <w:pPr>
          <w:pStyle w:val="20"/>
          <w:jc w:val="center"/>
        </w:pPr>
        <w:r>
          <w:fldChar w:fldCharType="begin"/>
        </w:r>
        <w:r>
          <w:instrText xml:space="preserve"> PAGE   \* MERGEFORMAT </w:instrText>
        </w:r>
        <w:r>
          <w:fldChar w:fldCharType="separate"/>
        </w:r>
        <w:r>
          <w:t>4</w:t>
        </w:r>
        <w:r>
          <w:fldChar w:fldCharType="end"/>
        </w:r>
      </w:p>
    </w:sdtContent>
  </w:sdt>
  <w:p w14:paraId="138B03F3">
    <w:pPr>
      <w:pStyle w:val="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948"/>
    <w:rsid w:val="00000818"/>
    <w:rsid w:val="00001C60"/>
    <w:rsid w:val="000032E3"/>
    <w:rsid w:val="00003560"/>
    <w:rsid w:val="000041F2"/>
    <w:rsid w:val="00005649"/>
    <w:rsid w:val="00005D1E"/>
    <w:rsid w:val="00007F87"/>
    <w:rsid w:val="00012C90"/>
    <w:rsid w:val="00012D6E"/>
    <w:rsid w:val="00013AC5"/>
    <w:rsid w:val="00013EDD"/>
    <w:rsid w:val="00014467"/>
    <w:rsid w:val="0001779F"/>
    <w:rsid w:val="000224AA"/>
    <w:rsid w:val="000228DC"/>
    <w:rsid w:val="00027797"/>
    <w:rsid w:val="00030317"/>
    <w:rsid w:val="000305BB"/>
    <w:rsid w:val="000308FE"/>
    <w:rsid w:val="00030D90"/>
    <w:rsid w:val="00031302"/>
    <w:rsid w:val="00031A6A"/>
    <w:rsid w:val="00031AEB"/>
    <w:rsid w:val="000323DD"/>
    <w:rsid w:val="00034377"/>
    <w:rsid w:val="000362FD"/>
    <w:rsid w:val="00037E3F"/>
    <w:rsid w:val="0004053F"/>
    <w:rsid w:val="000433B9"/>
    <w:rsid w:val="00052A37"/>
    <w:rsid w:val="00053352"/>
    <w:rsid w:val="000537FA"/>
    <w:rsid w:val="00053FED"/>
    <w:rsid w:val="000602F7"/>
    <w:rsid w:val="00063251"/>
    <w:rsid w:val="00063C69"/>
    <w:rsid w:val="00064CC4"/>
    <w:rsid w:val="00066573"/>
    <w:rsid w:val="000672E4"/>
    <w:rsid w:val="000678D7"/>
    <w:rsid w:val="00072CC9"/>
    <w:rsid w:val="00075777"/>
    <w:rsid w:val="000765C0"/>
    <w:rsid w:val="000766A2"/>
    <w:rsid w:val="00077102"/>
    <w:rsid w:val="00082163"/>
    <w:rsid w:val="00082D0D"/>
    <w:rsid w:val="0008476A"/>
    <w:rsid w:val="00084FAB"/>
    <w:rsid w:val="0008503D"/>
    <w:rsid w:val="000851EC"/>
    <w:rsid w:val="00085346"/>
    <w:rsid w:val="0008631E"/>
    <w:rsid w:val="0008742E"/>
    <w:rsid w:val="00092D39"/>
    <w:rsid w:val="00092D68"/>
    <w:rsid w:val="000943DC"/>
    <w:rsid w:val="000953D3"/>
    <w:rsid w:val="00095EE0"/>
    <w:rsid w:val="00096328"/>
    <w:rsid w:val="000970D8"/>
    <w:rsid w:val="000A010C"/>
    <w:rsid w:val="000A307B"/>
    <w:rsid w:val="000A3369"/>
    <w:rsid w:val="000A6455"/>
    <w:rsid w:val="000A67FE"/>
    <w:rsid w:val="000B06A3"/>
    <w:rsid w:val="000B619C"/>
    <w:rsid w:val="000B7291"/>
    <w:rsid w:val="000C33FD"/>
    <w:rsid w:val="000C4BF0"/>
    <w:rsid w:val="000C66DF"/>
    <w:rsid w:val="000C7044"/>
    <w:rsid w:val="000D0DAA"/>
    <w:rsid w:val="000D1743"/>
    <w:rsid w:val="000D2AF6"/>
    <w:rsid w:val="000D33CA"/>
    <w:rsid w:val="000D5A2C"/>
    <w:rsid w:val="000D6AA8"/>
    <w:rsid w:val="000E259F"/>
    <w:rsid w:val="000E3BD7"/>
    <w:rsid w:val="000E5DD9"/>
    <w:rsid w:val="000E6346"/>
    <w:rsid w:val="000E65F1"/>
    <w:rsid w:val="000F30B5"/>
    <w:rsid w:val="000F6663"/>
    <w:rsid w:val="000F6672"/>
    <w:rsid w:val="000F6A78"/>
    <w:rsid w:val="0010025F"/>
    <w:rsid w:val="001002AF"/>
    <w:rsid w:val="001016BD"/>
    <w:rsid w:val="00101D55"/>
    <w:rsid w:val="00105498"/>
    <w:rsid w:val="0010610A"/>
    <w:rsid w:val="00107EE1"/>
    <w:rsid w:val="001145F9"/>
    <w:rsid w:val="001153C6"/>
    <w:rsid w:val="0011663B"/>
    <w:rsid w:val="001167E1"/>
    <w:rsid w:val="0011708D"/>
    <w:rsid w:val="00117C2B"/>
    <w:rsid w:val="00120220"/>
    <w:rsid w:val="00120E3A"/>
    <w:rsid w:val="00121377"/>
    <w:rsid w:val="00122C1C"/>
    <w:rsid w:val="00122F1C"/>
    <w:rsid w:val="001235F7"/>
    <w:rsid w:val="00125817"/>
    <w:rsid w:val="0013245C"/>
    <w:rsid w:val="00133D4E"/>
    <w:rsid w:val="00134B75"/>
    <w:rsid w:val="001361B8"/>
    <w:rsid w:val="00136A11"/>
    <w:rsid w:val="00136B9E"/>
    <w:rsid w:val="00136C4C"/>
    <w:rsid w:val="00136F54"/>
    <w:rsid w:val="00140400"/>
    <w:rsid w:val="00141D9F"/>
    <w:rsid w:val="00144901"/>
    <w:rsid w:val="00145F0B"/>
    <w:rsid w:val="0015067F"/>
    <w:rsid w:val="00150B7F"/>
    <w:rsid w:val="0015277B"/>
    <w:rsid w:val="00153002"/>
    <w:rsid w:val="00153105"/>
    <w:rsid w:val="00153F22"/>
    <w:rsid w:val="0015463F"/>
    <w:rsid w:val="001555B9"/>
    <w:rsid w:val="001569DF"/>
    <w:rsid w:val="0015756B"/>
    <w:rsid w:val="0016148C"/>
    <w:rsid w:val="00162C58"/>
    <w:rsid w:val="00162D38"/>
    <w:rsid w:val="00163557"/>
    <w:rsid w:val="00164411"/>
    <w:rsid w:val="00166DA0"/>
    <w:rsid w:val="00166F63"/>
    <w:rsid w:val="0016793D"/>
    <w:rsid w:val="00167D1A"/>
    <w:rsid w:val="00170553"/>
    <w:rsid w:val="001716ED"/>
    <w:rsid w:val="00173239"/>
    <w:rsid w:val="001740E0"/>
    <w:rsid w:val="00176809"/>
    <w:rsid w:val="00177DD4"/>
    <w:rsid w:val="00182742"/>
    <w:rsid w:val="00182B08"/>
    <w:rsid w:val="001874D1"/>
    <w:rsid w:val="00191532"/>
    <w:rsid w:val="0019154F"/>
    <w:rsid w:val="00191E4F"/>
    <w:rsid w:val="001933E1"/>
    <w:rsid w:val="00194044"/>
    <w:rsid w:val="00194418"/>
    <w:rsid w:val="0019507E"/>
    <w:rsid w:val="00195560"/>
    <w:rsid w:val="00196DB1"/>
    <w:rsid w:val="001A0017"/>
    <w:rsid w:val="001A03D3"/>
    <w:rsid w:val="001A0610"/>
    <w:rsid w:val="001A08A2"/>
    <w:rsid w:val="001A242A"/>
    <w:rsid w:val="001A4E33"/>
    <w:rsid w:val="001A544A"/>
    <w:rsid w:val="001B026E"/>
    <w:rsid w:val="001B16B4"/>
    <w:rsid w:val="001B2BF4"/>
    <w:rsid w:val="001B33D3"/>
    <w:rsid w:val="001B4254"/>
    <w:rsid w:val="001B4548"/>
    <w:rsid w:val="001B6203"/>
    <w:rsid w:val="001B6AEA"/>
    <w:rsid w:val="001C01E7"/>
    <w:rsid w:val="001C190C"/>
    <w:rsid w:val="001C229B"/>
    <w:rsid w:val="001D0B82"/>
    <w:rsid w:val="001D268C"/>
    <w:rsid w:val="001D48DE"/>
    <w:rsid w:val="001D5158"/>
    <w:rsid w:val="001D5186"/>
    <w:rsid w:val="001D52B3"/>
    <w:rsid w:val="001D727A"/>
    <w:rsid w:val="001E1590"/>
    <w:rsid w:val="001E326F"/>
    <w:rsid w:val="001E37DE"/>
    <w:rsid w:val="001E56A6"/>
    <w:rsid w:val="001E5B2A"/>
    <w:rsid w:val="001E7F6A"/>
    <w:rsid w:val="001F04BB"/>
    <w:rsid w:val="001F3B29"/>
    <w:rsid w:val="001F6C71"/>
    <w:rsid w:val="001F7595"/>
    <w:rsid w:val="00200BB2"/>
    <w:rsid w:val="00200CD1"/>
    <w:rsid w:val="00201FA9"/>
    <w:rsid w:val="00202BCF"/>
    <w:rsid w:val="00203763"/>
    <w:rsid w:val="00205BAC"/>
    <w:rsid w:val="00205E50"/>
    <w:rsid w:val="0020612D"/>
    <w:rsid w:val="00210A23"/>
    <w:rsid w:val="002125BA"/>
    <w:rsid w:val="00212FB4"/>
    <w:rsid w:val="00213785"/>
    <w:rsid w:val="00217B47"/>
    <w:rsid w:val="00217BF4"/>
    <w:rsid w:val="00220CFF"/>
    <w:rsid w:val="00222F8C"/>
    <w:rsid w:val="00223010"/>
    <w:rsid w:val="00225655"/>
    <w:rsid w:val="00227461"/>
    <w:rsid w:val="002275EF"/>
    <w:rsid w:val="00227835"/>
    <w:rsid w:val="00227908"/>
    <w:rsid w:val="002325B9"/>
    <w:rsid w:val="00233EA0"/>
    <w:rsid w:val="0023618D"/>
    <w:rsid w:val="002365E3"/>
    <w:rsid w:val="0024008D"/>
    <w:rsid w:val="00240FE6"/>
    <w:rsid w:val="002427B1"/>
    <w:rsid w:val="00242B30"/>
    <w:rsid w:val="00243D5B"/>
    <w:rsid w:val="00244543"/>
    <w:rsid w:val="00246944"/>
    <w:rsid w:val="00246A1B"/>
    <w:rsid w:val="00247493"/>
    <w:rsid w:val="00250D58"/>
    <w:rsid w:val="00250D72"/>
    <w:rsid w:val="0025226C"/>
    <w:rsid w:val="00253F57"/>
    <w:rsid w:val="00254303"/>
    <w:rsid w:val="0025476C"/>
    <w:rsid w:val="00255603"/>
    <w:rsid w:val="00256303"/>
    <w:rsid w:val="00256A9E"/>
    <w:rsid w:val="00257652"/>
    <w:rsid w:val="00257987"/>
    <w:rsid w:val="00257FB0"/>
    <w:rsid w:val="00260D4C"/>
    <w:rsid w:val="002612DC"/>
    <w:rsid w:val="00265974"/>
    <w:rsid w:val="00265C11"/>
    <w:rsid w:val="00265CD0"/>
    <w:rsid w:val="002669DC"/>
    <w:rsid w:val="00271D31"/>
    <w:rsid w:val="002738C4"/>
    <w:rsid w:val="002739CB"/>
    <w:rsid w:val="00273EE8"/>
    <w:rsid w:val="0027588A"/>
    <w:rsid w:val="00283421"/>
    <w:rsid w:val="00283B24"/>
    <w:rsid w:val="00286907"/>
    <w:rsid w:val="00286A03"/>
    <w:rsid w:val="00290563"/>
    <w:rsid w:val="00292DD5"/>
    <w:rsid w:val="002942A9"/>
    <w:rsid w:val="0029523A"/>
    <w:rsid w:val="0029552D"/>
    <w:rsid w:val="00295EF6"/>
    <w:rsid w:val="00295F11"/>
    <w:rsid w:val="00295F62"/>
    <w:rsid w:val="00296FCA"/>
    <w:rsid w:val="00297BAC"/>
    <w:rsid w:val="002A3746"/>
    <w:rsid w:val="002B1973"/>
    <w:rsid w:val="002B31C1"/>
    <w:rsid w:val="002B35A6"/>
    <w:rsid w:val="002B48D6"/>
    <w:rsid w:val="002B66C4"/>
    <w:rsid w:val="002B783E"/>
    <w:rsid w:val="002B7954"/>
    <w:rsid w:val="002C03D8"/>
    <w:rsid w:val="002C08FD"/>
    <w:rsid w:val="002C12D0"/>
    <w:rsid w:val="002C2AE6"/>
    <w:rsid w:val="002C3231"/>
    <w:rsid w:val="002C3B71"/>
    <w:rsid w:val="002C462C"/>
    <w:rsid w:val="002C5887"/>
    <w:rsid w:val="002C65F7"/>
    <w:rsid w:val="002D103C"/>
    <w:rsid w:val="002D1C8B"/>
    <w:rsid w:val="002D1E00"/>
    <w:rsid w:val="002D6212"/>
    <w:rsid w:val="002D7368"/>
    <w:rsid w:val="002E073C"/>
    <w:rsid w:val="002E07E1"/>
    <w:rsid w:val="002E2AD2"/>
    <w:rsid w:val="002E3B9D"/>
    <w:rsid w:val="002E4B58"/>
    <w:rsid w:val="002E69BE"/>
    <w:rsid w:val="002E6BDC"/>
    <w:rsid w:val="002E7212"/>
    <w:rsid w:val="002F1B9F"/>
    <w:rsid w:val="002F2638"/>
    <w:rsid w:val="002F34D9"/>
    <w:rsid w:val="002F41FF"/>
    <w:rsid w:val="002F4A9A"/>
    <w:rsid w:val="00302451"/>
    <w:rsid w:val="00303E52"/>
    <w:rsid w:val="00305F6D"/>
    <w:rsid w:val="0030649D"/>
    <w:rsid w:val="003065A5"/>
    <w:rsid w:val="00306B8D"/>
    <w:rsid w:val="00312333"/>
    <w:rsid w:val="003141A0"/>
    <w:rsid w:val="003144B0"/>
    <w:rsid w:val="003148BC"/>
    <w:rsid w:val="00315395"/>
    <w:rsid w:val="0031648E"/>
    <w:rsid w:val="0031698D"/>
    <w:rsid w:val="00317031"/>
    <w:rsid w:val="003209ED"/>
    <w:rsid w:val="003250F8"/>
    <w:rsid w:val="00326159"/>
    <w:rsid w:val="0032742B"/>
    <w:rsid w:val="003402C7"/>
    <w:rsid w:val="0034148C"/>
    <w:rsid w:val="00343232"/>
    <w:rsid w:val="003439AA"/>
    <w:rsid w:val="00345735"/>
    <w:rsid w:val="003471D0"/>
    <w:rsid w:val="003476DF"/>
    <w:rsid w:val="00350DEB"/>
    <w:rsid w:val="003524EE"/>
    <w:rsid w:val="00355A1B"/>
    <w:rsid w:val="00357406"/>
    <w:rsid w:val="00361008"/>
    <w:rsid w:val="00361F61"/>
    <w:rsid w:val="00365F94"/>
    <w:rsid w:val="00370CCC"/>
    <w:rsid w:val="003729C6"/>
    <w:rsid w:val="00372A8A"/>
    <w:rsid w:val="00372B45"/>
    <w:rsid w:val="00373E97"/>
    <w:rsid w:val="00374659"/>
    <w:rsid w:val="00375307"/>
    <w:rsid w:val="00376956"/>
    <w:rsid w:val="00377989"/>
    <w:rsid w:val="00380140"/>
    <w:rsid w:val="00380DA4"/>
    <w:rsid w:val="00382347"/>
    <w:rsid w:val="003830EB"/>
    <w:rsid w:val="0038320A"/>
    <w:rsid w:val="003839C7"/>
    <w:rsid w:val="00384D7C"/>
    <w:rsid w:val="003865A6"/>
    <w:rsid w:val="00387F12"/>
    <w:rsid w:val="003901EF"/>
    <w:rsid w:val="003907EC"/>
    <w:rsid w:val="00390954"/>
    <w:rsid w:val="00390D41"/>
    <w:rsid w:val="00390FC5"/>
    <w:rsid w:val="00391281"/>
    <w:rsid w:val="0039337B"/>
    <w:rsid w:val="00393E2C"/>
    <w:rsid w:val="00394050"/>
    <w:rsid w:val="003966B3"/>
    <w:rsid w:val="003A0A94"/>
    <w:rsid w:val="003A2336"/>
    <w:rsid w:val="003A2E64"/>
    <w:rsid w:val="003A3FC4"/>
    <w:rsid w:val="003A41B2"/>
    <w:rsid w:val="003A76DD"/>
    <w:rsid w:val="003B077F"/>
    <w:rsid w:val="003B0C93"/>
    <w:rsid w:val="003B0D01"/>
    <w:rsid w:val="003B3152"/>
    <w:rsid w:val="003B3389"/>
    <w:rsid w:val="003B38B3"/>
    <w:rsid w:val="003B3F2F"/>
    <w:rsid w:val="003B76D9"/>
    <w:rsid w:val="003B7BCD"/>
    <w:rsid w:val="003B7BD5"/>
    <w:rsid w:val="003C0946"/>
    <w:rsid w:val="003C46F9"/>
    <w:rsid w:val="003C77B6"/>
    <w:rsid w:val="003C7F60"/>
    <w:rsid w:val="003D05B1"/>
    <w:rsid w:val="003D0C10"/>
    <w:rsid w:val="003D29A8"/>
    <w:rsid w:val="003D3EA6"/>
    <w:rsid w:val="003D4799"/>
    <w:rsid w:val="003D546E"/>
    <w:rsid w:val="003E1134"/>
    <w:rsid w:val="003E2006"/>
    <w:rsid w:val="003E26BA"/>
    <w:rsid w:val="003E2F7E"/>
    <w:rsid w:val="003E6938"/>
    <w:rsid w:val="003F0545"/>
    <w:rsid w:val="003F0919"/>
    <w:rsid w:val="003F1043"/>
    <w:rsid w:val="003F1844"/>
    <w:rsid w:val="003F2BEB"/>
    <w:rsid w:val="003F697B"/>
    <w:rsid w:val="0040067F"/>
    <w:rsid w:val="0040078E"/>
    <w:rsid w:val="00400B41"/>
    <w:rsid w:val="004010B4"/>
    <w:rsid w:val="004063D1"/>
    <w:rsid w:val="004071B3"/>
    <w:rsid w:val="0040740A"/>
    <w:rsid w:val="00407811"/>
    <w:rsid w:val="00412869"/>
    <w:rsid w:val="00414843"/>
    <w:rsid w:val="004148DB"/>
    <w:rsid w:val="00415035"/>
    <w:rsid w:val="00415221"/>
    <w:rsid w:val="004152E0"/>
    <w:rsid w:val="00415D44"/>
    <w:rsid w:val="004230A1"/>
    <w:rsid w:val="00425B7A"/>
    <w:rsid w:val="004266D6"/>
    <w:rsid w:val="00426D76"/>
    <w:rsid w:val="004306BC"/>
    <w:rsid w:val="00430A53"/>
    <w:rsid w:val="0043105F"/>
    <w:rsid w:val="00431639"/>
    <w:rsid w:val="004325C3"/>
    <w:rsid w:val="00432E59"/>
    <w:rsid w:val="00434818"/>
    <w:rsid w:val="00435F49"/>
    <w:rsid w:val="00437544"/>
    <w:rsid w:val="00441058"/>
    <w:rsid w:val="00443E16"/>
    <w:rsid w:val="004472DD"/>
    <w:rsid w:val="004502B6"/>
    <w:rsid w:val="00451513"/>
    <w:rsid w:val="00452815"/>
    <w:rsid w:val="0045423C"/>
    <w:rsid w:val="0045498E"/>
    <w:rsid w:val="00460171"/>
    <w:rsid w:val="0046027D"/>
    <w:rsid w:val="00460B42"/>
    <w:rsid w:val="00463FC6"/>
    <w:rsid w:val="004651AD"/>
    <w:rsid w:val="00465908"/>
    <w:rsid w:val="004669A4"/>
    <w:rsid w:val="00467848"/>
    <w:rsid w:val="004702AB"/>
    <w:rsid w:val="00471839"/>
    <w:rsid w:val="00473471"/>
    <w:rsid w:val="00473CCF"/>
    <w:rsid w:val="00476AC0"/>
    <w:rsid w:val="00480394"/>
    <w:rsid w:val="00485C30"/>
    <w:rsid w:val="00491745"/>
    <w:rsid w:val="00493C33"/>
    <w:rsid w:val="00496463"/>
    <w:rsid w:val="0049683D"/>
    <w:rsid w:val="00497922"/>
    <w:rsid w:val="004A0D30"/>
    <w:rsid w:val="004A5CFB"/>
    <w:rsid w:val="004A7369"/>
    <w:rsid w:val="004B06BD"/>
    <w:rsid w:val="004B3EF8"/>
    <w:rsid w:val="004B5A1C"/>
    <w:rsid w:val="004C3965"/>
    <w:rsid w:val="004C3A70"/>
    <w:rsid w:val="004C5E5E"/>
    <w:rsid w:val="004C6332"/>
    <w:rsid w:val="004C6DA9"/>
    <w:rsid w:val="004C7307"/>
    <w:rsid w:val="004D0C46"/>
    <w:rsid w:val="004D1710"/>
    <w:rsid w:val="004D2E5B"/>
    <w:rsid w:val="004D36AA"/>
    <w:rsid w:val="004D47FA"/>
    <w:rsid w:val="004D4905"/>
    <w:rsid w:val="004D55CD"/>
    <w:rsid w:val="004D59DF"/>
    <w:rsid w:val="004E1E4A"/>
    <w:rsid w:val="004E2380"/>
    <w:rsid w:val="004E2BB9"/>
    <w:rsid w:val="004E3B74"/>
    <w:rsid w:val="004E442A"/>
    <w:rsid w:val="004E5B9F"/>
    <w:rsid w:val="004F1586"/>
    <w:rsid w:val="004F2012"/>
    <w:rsid w:val="004F216B"/>
    <w:rsid w:val="004F2315"/>
    <w:rsid w:val="004F2845"/>
    <w:rsid w:val="004F2CD9"/>
    <w:rsid w:val="004F4033"/>
    <w:rsid w:val="004F4D67"/>
    <w:rsid w:val="004F502A"/>
    <w:rsid w:val="004F5F57"/>
    <w:rsid w:val="004F7CD2"/>
    <w:rsid w:val="00500409"/>
    <w:rsid w:val="00501A11"/>
    <w:rsid w:val="00501A9A"/>
    <w:rsid w:val="005024C7"/>
    <w:rsid w:val="0050354C"/>
    <w:rsid w:val="00506B36"/>
    <w:rsid w:val="00510F67"/>
    <w:rsid w:val="0051236A"/>
    <w:rsid w:val="0051469A"/>
    <w:rsid w:val="00514F60"/>
    <w:rsid w:val="00517571"/>
    <w:rsid w:val="00520617"/>
    <w:rsid w:val="00520A5B"/>
    <w:rsid w:val="0052593F"/>
    <w:rsid w:val="00525FCE"/>
    <w:rsid w:val="00530268"/>
    <w:rsid w:val="005302FE"/>
    <w:rsid w:val="0053224E"/>
    <w:rsid w:val="00533F0D"/>
    <w:rsid w:val="005353A2"/>
    <w:rsid w:val="00536C25"/>
    <w:rsid w:val="00536E60"/>
    <w:rsid w:val="005374CA"/>
    <w:rsid w:val="00537964"/>
    <w:rsid w:val="00537B83"/>
    <w:rsid w:val="00540F54"/>
    <w:rsid w:val="00544C71"/>
    <w:rsid w:val="00547561"/>
    <w:rsid w:val="00547B3E"/>
    <w:rsid w:val="00550F3D"/>
    <w:rsid w:val="0055159D"/>
    <w:rsid w:val="0055223B"/>
    <w:rsid w:val="005524DD"/>
    <w:rsid w:val="00553E24"/>
    <w:rsid w:val="00554448"/>
    <w:rsid w:val="00554BEE"/>
    <w:rsid w:val="005567B2"/>
    <w:rsid w:val="005579C1"/>
    <w:rsid w:val="00557B60"/>
    <w:rsid w:val="005604FB"/>
    <w:rsid w:val="00560C23"/>
    <w:rsid w:val="00561A56"/>
    <w:rsid w:val="00562BBD"/>
    <w:rsid w:val="005633D8"/>
    <w:rsid w:val="00566D4F"/>
    <w:rsid w:val="0056725B"/>
    <w:rsid w:val="005703C0"/>
    <w:rsid w:val="005711AF"/>
    <w:rsid w:val="00573456"/>
    <w:rsid w:val="005747F0"/>
    <w:rsid w:val="005754C2"/>
    <w:rsid w:val="00576624"/>
    <w:rsid w:val="0058046B"/>
    <w:rsid w:val="00581DB9"/>
    <w:rsid w:val="00582339"/>
    <w:rsid w:val="005829AE"/>
    <w:rsid w:val="00582C7D"/>
    <w:rsid w:val="00584C71"/>
    <w:rsid w:val="00585B71"/>
    <w:rsid w:val="00585E59"/>
    <w:rsid w:val="0058613B"/>
    <w:rsid w:val="0058680C"/>
    <w:rsid w:val="00590D0E"/>
    <w:rsid w:val="00591305"/>
    <w:rsid w:val="0059207D"/>
    <w:rsid w:val="00592F8E"/>
    <w:rsid w:val="005958C7"/>
    <w:rsid w:val="00596425"/>
    <w:rsid w:val="005975AD"/>
    <w:rsid w:val="005A0645"/>
    <w:rsid w:val="005A0AC6"/>
    <w:rsid w:val="005A215D"/>
    <w:rsid w:val="005A265F"/>
    <w:rsid w:val="005A409B"/>
    <w:rsid w:val="005A494A"/>
    <w:rsid w:val="005A56B2"/>
    <w:rsid w:val="005A6945"/>
    <w:rsid w:val="005A6B77"/>
    <w:rsid w:val="005B0345"/>
    <w:rsid w:val="005B09F0"/>
    <w:rsid w:val="005B10F8"/>
    <w:rsid w:val="005B1C05"/>
    <w:rsid w:val="005B267D"/>
    <w:rsid w:val="005B313D"/>
    <w:rsid w:val="005B4CCB"/>
    <w:rsid w:val="005B6153"/>
    <w:rsid w:val="005B6573"/>
    <w:rsid w:val="005B74C2"/>
    <w:rsid w:val="005C0026"/>
    <w:rsid w:val="005C04D0"/>
    <w:rsid w:val="005C0949"/>
    <w:rsid w:val="005C49ED"/>
    <w:rsid w:val="005C5E23"/>
    <w:rsid w:val="005D2333"/>
    <w:rsid w:val="005D2806"/>
    <w:rsid w:val="005D3D29"/>
    <w:rsid w:val="005D423A"/>
    <w:rsid w:val="005D4D41"/>
    <w:rsid w:val="005D4F0A"/>
    <w:rsid w:val="005D7832"/>
    <w:rsid w:val="005D7EB0"/>
    <w:rsid w:val="005E00DC"/>
    <w:rsid w:val="005E38F4"/>
    <w:rsid w:val="005E3B0D"/>
    <w:rsid w:val="005F1D29"/>
    <w:rsid w:val="005F5068"/>
    <w:rsid w:val="005F527E"/>
    <w:rsid w:val="005F75DA"/>
    <w:rsid w:val="0060260C"/>
    <w:rsid w:val="00604D1F"/>
    <w:rsid w:val="0060744A"/>
    <w:rsid w:val="00607B04"/>
    <w:rsid w:val="00610CB5"/>
    <w:rsid w:val="00612807"/>
    <w:rsid w:val="00613D61"/>
    <w:rsid w:val="00615415"/>
    <w:rsid w:val="006219CB"/>
    <w:rsid w:val="00622606"/>
    <w:rsid w:val="00622FD9"/>
    <w:rsid w:val="0062449C"/>
    <w:rsid w:val="00625833"/>
    <w:rsid w:val="006260E4"/>
    <w:rsid w:val="00627213"/>
    <w:rsid w:val="006303D8"/>
    <w:rsid w:val="0063120C"/>
    <w:rsid w:val="00633446"/>
    <w:rsid w:val="006340C4"/>
    <w:rsid w:val="00634637"/>
    <w:rsid w:val="00635D76"/>
    <w:rsid w:val="00637F40"/>
    <w:rsid w:val="0064136C"/>
    <w:rsid w:val="00642F78"/>
    <w:rsid w:val="00643F1A"/>
    <w:rsid w:val="00645187"/>
    <w:rsid w:val="00645A75"/>
    <w:rsid w:val="00646077"/>
    <w:rsid w:val="006466E0"/>
    <w:rsid w:val="0065004F"/>
    <w:rsid w:val="00650CC6"/>
    <w:rsid w:val="00652DD4"/>
    <w:rsid w:val="006534CC"/>
    <w:rsid w:val="00655948"/>
    <w:rsid w:val="00656940"/>
    <w:rsid w:val="0065768A"/>
    <w:rsid w:val="00657F81"/>
    <w:rsid w:val="0066034F"/>
    <w:rsid w:val="00660EE3"/>
    <w:rsid w:val="0066159D"/>
    <w:rsid w:val="00664C24"/>
    <w:rsid w:val="00664F4A"/>
    <w:rsid w:val="00665194"/>
    <w:rsid w:val="00665F2A"/>
    <w:rsid w:val="00672203"/>
    <w:rsid w:val="0067229D"/>
    <w:rsid w:val="0067243D"/>
    <w:rsid w:val="00672CC2"/>
    <w:rsid w:val="00674BA9"/>
    <w:rsid w:val="00674F4C"/>
    <w:rsid w:val="006764AF"/>
    <w:rsid w:val="006801E6"/>
    <w:rsid w:val="006815FE"/>
    <w:rsid w:val="006820B2"/>
    <w:rsid w:val="006837CA"/>
    <w:rsid w:val="00683BB7"/>
    <w:rsid w:val="006840FA"/>
    <w:rsid w:val="006846AD"/>
    <w:rsid w:val="00686C08"/>
    <w:rsid w:val="006904D0"/>
    <w:rsid w:val="00690D60"/>
    <w:rsid w:val="00693375"/>
    <w:rsid w:val="00694C03"/>
    <w:rsid w:val="00696AF6"/>
    <w:rsid w:val="006977D1"/>
    <w:rsid w:val="006A00ED"/>
    <w:rsid w:val="006A214C"/>
    <w:rsid w:val="006A3212"/>
    <w:rsid w:val="006A49DC"/>
    <w:rsid w:val="006A7707"/>
    <w:rsid w:val="006B09B0"/>
    <w:rsid w:val="006B1782"/>
    <w:rsid w:val="006B6BEA"/>
    <w:rsid w:val="006B7BEE"/>
    <w:rsid w:val="006C23F0"/>
    <w:rsid w:val="006C2A97"/>
    <w:rsid w:val="006C2BF7"/>
    <w:rsid w:val="006C403F"/>
    <w:rsid w:val="006D169B"/>
    <w:rsid w:val="006D55BE"/>
    <w:rsid w:val="006D5D49"/>
    <w:rsid w:val="006D6930"/>
    <w:rsid w:val="006D6BC4"/>
    <w:rsid w:val="006D7AE8"/>
    <w:rsid w:val="006E250A"/>
    <w:rsid w:val="006E3CD9"/>
    <w:rsid w:val="006E42E8"/>
    <w:rsid w:val="006F03EF"/>
    <w:rsid w:val="006F2BAB"/>
    <w:rsid w:val="006F2EC8"/>
    <w:rsid w:val="006F3B92"/>
    <w:rsid w:val="006F3FD7"/>
    <w:rsid w:val="006F55B6"/>
    <w:rsid w:val="006F5E57"/>
    <w:rsid w:val="006F6EAB"/>
    <w:rsid w:val="006F72FB"/>
    <w:rsid w:val="00701876"/>
    <w:rsid w:val="00702B0A"/>
    <w:rsid w:val="00703CF1"/>
    <w:rsid w:val="00704C19"/>
    <w:rsid w:val="0070532A"/>
    <w:rsid w:val="007068AE"/>
    <w:rsid w:val="00706A9E"/>
    <w:rsid w:val="007118D7"/>
    <w:rsid w:val="007135BB"/>
    <w:rsid w:val="00714E3B"/>
    <w:rsid w:val="00715B31"/>
    <w:rsid w:val="00716671"/>
    <w:rsid w:val="00722233"/>
    <w:rsid w:val="0072226B"/>
    <w:rsid w:val="00725D80"/>
    <w:rsid w:val="00731D6B"/>
    <w:rsid w:val="00733919"/>
    <w:rsid w:val="00734962"/>
    <w:rsid w:val="00735162"/>
    <w:rsid w:val="00736677"/>
    <w:rsid w:val="00741706"/>
    <w:rsid w:val="00742C2D"/>
    <w:rsid w:val="0074302F"/>
    <w:rsid w:val="007435AB"/>
    <w:rsid w:val="0074394E"/>
    <w:rsid w:val="00745D0F"/>
    <w:rsid w:val="00746F50"/>
    <w:rsid w:val="0075073F"/>
    <w:rsid w:val="00750F47"/>
    <w:rsid w:val="00752257"/>
    <w:rsid w:val="00752ECA"/>
    <w:rsid w:val="00753C46"/>
    <w:rsid w:val="00756186"/>
    <w:rsid w:val="00756969"/>
    <w:rsid w:val="00761342"/>
    <w:rsid w:val="007648B5"/>
    <w:rsid w:val="0076630E"/>
    <w:rsid w:val="00766CA6"/>
    <w:rsid w:val="007677DB"/>
    <w:rsid w:val="00767C25"/>
    <w:rsid w:val="007728E6"/>
    <w:rsid w:val="00774BD8"/>
    <w:rsid w:val="00774D79"/>
    <w:rsid w:val="00780955"/>
    <w:rsid w:val="00780A15"/>
    <w:rsid w:val="00780C45"/>
    <w:rsid w:val="007813BB"/>
    <w:rsid w:val="007815A9"/>
    <w:rsid w:val="00782124"/>
    <w:rsid w:val="0078263E"/>
    <w:rsid w:val="00783695"/>
    <w:rsid w:val="00783E94"/>
    <w:rsid w:val="00785ABB"/>
    <w:rsid w:val="007904DC"/>
    <w:rsid w:val="00792035"/>
    <w:rsid w:val="00793565"/>
    <w:rsid w:val="00793921"/>
    <w:rsid w:val="007954BB"/>
    <w:rsid w:val="00797729"/>
    <w:rsid w:val="007A13C5"/>
    <w:rsid w:val="007A17C8"/>
    <w:rsid w:val="007A2FD2"/>
    <w:rsid w:val="007A58B5"/>
    <w:rsid w:val="007A6B22"/>
    <w:rsid w:val="007B0132"/>
    <w:rsid w:val="007B28BB"/>
    <w:rsid w:val="007B310C"/>
    <w:rsid w:val="007B3283"/>
    <w:rsid w:val="007B7010"/>
    <w:rsid w:val="007B7CB4"/>
    <w:rsid w:val="007B7D0C"/>
    <w:rsid w:val="007B7DCB"/>
    <w:rsid w:val="007C0527"/>
    <w:rsid w:val="007C36AA"/>
    <w:rsid w:val="007C49C0"/>
    <w:rsid w:val="007C4BC8"/>
    <w:rsid w:val="007C5054"/>
    <w:rsid w:val="007C5A34"/>
    <w:rsid w:val="007C76D5"/>
    <w:rsid w:val="007D0A1D"/>
    <w:rsid w:val="007D3EC1"/>
    <w:rsid w:val="007D43B5"/>
    <w:rsid w:val="007D4B05"/>
    <w:rsid w:val="007D5FDE"/>
    <w:rsid w:val="007D6702"/>
    <w:rsid w:val="007E06E1"/>
    <w:rsid w:val="007E0AE6"/>
    <w:rsid w:val="007E0DCA"/>
    <w:rsid w:val="007E25FC"/>
    <w:rsid w:val="007E504F"/>
    <w:rsid w:val="007E57A9"/>
    <w:rsid w:val="007E6218"/>
    <w:rsid w:val="007E7264"/>
    <w:rsid w:val="007F1296"/>
    <w:rsid w:val="007F1532"/>
    <w:rsid w:val="007F2BBE"/>
    <w:rsid w:val="007F3202"/>
    <w:rsid w:val="007F3E14"/>
    <w:rsid w:val="007F4555"/>
    <w:rsid w:val="007F578E"/>
    <w:rsid w:val="007F753D"/>
    <w:rsid w:val="007F7E25"/>
    <w:rsid w:val="00800BBB"/>
    <w:rsid w:val="0080610F"/>
    <w:rsid w:val="00810B70"/>
    <w:rsid w:val="008113EB"/>
    <w:rsid w:val="00811A26"/>
    <w:rsid w:val="00811EE2"/>
    <w:rsid w:val="0081202C"/>
    <w:rsid w:val="0081295C"/>
    <w:rsid w:val="00815930"/>
    <w:rsid w:val="008169F3"/>
    <w:rsid w:val="00816A76"/>
    <w:rsid w:val="008205E8"/>
    <w:rsid w:val="0082113A"/>
    <w:rsid w:val="008212E5"/>
    <w:rsid w:val="008229FA"/>
    <w:rsid w:val="00822C57"/>
    <w:rsid w:val="008233B9"/>
    <w:rsid w:val="00824845"/>
    <w:rsid w:val="00824EFF"/>
    <w:rsid w:val="00825892"/>
    <w:rsid w:val="00826808"/>
    <w:rsid w:val="00827DBA"/>
    <w:rsid w:val="00831997"/>
    <w:rsid w:val="00833F81"/>
    <w:rsid w:val="00834D8C"/>
    <w:rsid w:val="00835316"/>
    <w:rsid w:val="00840B42"/>
    <w:rsid w:val="0084135B"/>
    <w:rsid w:val="00843E45"/>
    <w:rsid w:val="00845548"/>
    <w:rsid w:val="0084576B"/>
    <w:rsid w:val="00850DDB"/>
    <w:rsid w:val="00851034"/>
    <w:rsid w:val="0085168A"/>
    <w:rsid w:val="00851D84"/>
    <w:rsid w:val="0085209B"/>
    <w:rsid w:val="008523EC"/>
    <w:rsid w:val="0085333B"/>
    <w:rsid w:val="00853E18"/>
    <w:rsid w:val="0085787B"/>
    <w:rsid w:val="00861319"/>
    <w:rsid w:val="008616D7"/>
    <w:rsid w:val="00861C67"/>
    <w:rsid w:val="00862B7C"/>
    <w:rsid w:val="0086433F"/>
    <w:rsid w:val="008643EE"/>
    <w:rsid w:val="00864ADA"/>
    <w:rsid w:val="00866825"/>
    <w:rsid w:val="00866DA7"/>
    <w:rsid w:val="00866E57"/>
    <w:rsid w:val="00867AE0"/>
    <w:rsid w:val="0087007D"/>
    <w:rsid w:val="00870301"/>
    <w:rsid w:val="00870AE3"/>
    <w:rsid w:val="008711F7"/>
    <w:rsid w:val="00875F4E"/>
    <w:rsid w:val="00876674"/>
    <w:rsid w:val="00881DF3"/>
    <w:rsid w:val="0088221D"/>
    <w:rsid w:val="00882830"/>
    <w:rsid w:val="00883000"/>
    <w:rsid w:val="00885CC0"/>
    <w:rsid w:val="00886198"/>
    <w:rsid w:val="0088705A"/>
    <w:rsid w:val="008873D3"/>
    <w:rsid w:val="00887849"/>
    <w:rsid w:val="0089103F"/>
    <w:rsid w:val="0089162C"/>
    <w:rsid w:val="00892327"/>
    <w:rsid w:val="008928CE"/>
    <w:rsid w:val="00896D6C"/>
    <w:rsid w:val="00897456"/>
    <w:rsid w:val="008A00FA"/>
    <w:rsid w:val="008A0C81"/>
    <w:rsid w:val="008A3FB9"/>
    <w:rsid w:val="008A5F7D"/>
    <w:rsid w:val="008A6FB5"/>
    <w:rsid w:val="008B081F"/>
    <w:rsid w:val="008B0A23"/>
    <w:rsid w:val="008B13BD"/>
    <w:rsid w:val="008B1811"/>
    <w:rsid w:val="008B3BEB"/>
    <w:rsid w:val="008B3D98"/>
    <w:rsid w:val="008B3F21"/>
    <w:rsid w:val="008B52BC"/>
    <w:rsid w:val="008B5BFE"/>
    <w:rsid w:val="008B5DF2"/>
    <w:rsid w:val="008C1893"/>
    <w:rsid w:val="008C4432"/>
    <w:rsid w:val="008C6748"/>
    <w:rsid w:val="008C698D"/>
    <w:rsid w:val="008C6AED"/>
    <w:rsid w:val="008D05AB"/>
    <w:rsid w:val="008D7529"/>
    <w:rsid w:val="008D7924"/>
    <w:rsid w:val="008E1143"/>
    <w:rsid w:val="008E1FDB"/>
    <w:rsid w:val="008E2752"/>
    <w:rsid w:val="008E3754"/>
    <w:rsid w:val="008E57E6"/>
    <w:rsid w:val="008F197E"/>
    <w:rsid w:val="008F1C57"/>
    <w:rsid w:val="008F3605"/>
    <w:rsid w:val="008F3F57"/>
    <w:rsid w:val="008F688F"/>
    <w:rsid w:val="008F73CF"/>
    <w:rsid w:val="00900C54"/>
    <w:rsid w:val="009027E8"/>
    <w:rsid w:val="0090407A"/>
    <w:rsid w:val="009049B6"/>
    <w:rsid w:val="00904DD2"/>
    <w:rsid w:val="00906C5C"/>
    <w:rsid w:val="00906ECB"/>
    <w:rsid w:val="0091067A"/>
    <w:rsid w:val="0091161D"/>
    <w:rsid w:val="00912FF9"/>
    <w:rsid w:val="00914232"/>
    <w:rsid w:val="00915C51"/>
    <w:rsid w:val="009171BF"/>
    <w:rsid w:val="00920F2B"/>
    <w:rsid w:val="00923FEC"/>
    <w:rsid w:val="00925759"/>
    <w:rsid w:val="0093027B"/>
    <w:rsid w:val="00931108"/>
    <w:rsid w:val="00933B07"/>
    <w:rsid w:val="009370F2"/>
    <w:rsid w:val="00937108"/>
    <w:rsid w:val="00937840"/>
    <w:rsid w:val="009378AE"/>
    <w:rsid w:val="00947B0B"/>
    <w:rsid w:val="00951361"/>
    <w:rsid w:val="00951D8E"/>
    <w:rsid w:val="00953C0F"/>
    <w:rsid w:val="009566B3"/>
    <w:rsid w:val="0095759F"/>
    <w:rsid w:val="00960288"/>
    <w:rsid w:val="0096064B"/>
    <w:rsid w:val="00960A21"/>
    <w:rsid w:val="00964BE4"/>
    <w:rsid w:val="00964F24"/>
    <w:rsid w:val="00967B7B"/>
    <w:rsid w:val="0097046E"/>
    <w:rsid w:val="00970742"/>
    <w:rsid w:val="00971409"/>
    <w:rsid w:val="0097419B"/>
    <w:rsid w:val="0097565A"/>
    <w:rsid w:val="00977AD5"/>
    <w:rsid w:val="00980272"/>
    <w:rsid w:val="00981DF0"/>
    <w:rsid w:val="009839D2"/>
    <w:rsid w:val="00983B46"/>
    <w:rsid w:val="00984270"/>
    <w:rsid w:val="00985D62"/>
    <w:rsid w:val="009863BD"/>
    <w:rsid w:val="00993C74"/>
    <w:rsid w:val="009950DA"/>
    <w:rsid w:val="00995D00"/>
    <w:rsid w:val="009968EE"/>
    <w:rsid w:val="009A0290"/>
    <w:rsid w:val="009A38AA"/>
    <w:rsid w:val="009A3C82"/>
    <w:rsid w:val="009A5B1A"/>
    <w:rsid w:val="009B1846"/>
    <w:rsid w:val="009B2CBC"/>
    <w:rsid w:val="009B39F4"/>
    <w:rsid w:val="009B43F2"/>
    <w:rsid w:val="009B4730"/>
    <w:rsid w:val="009B53AA"/>
    <w:rsid w:val="009B6F94"/>
    <w:rsid w:val="009C1036"/>
    <w:rsid w:val="009C1391"/>
    <w:rsid w:val="009C21FF"/>
    <w:rsid w:val="009C263D"/>
    <w:rsid w:val="009C2845"/>
    <w:rsid w:val="009C3B70"/>
    <w:rsid w:val="009C4C82"/>
    <w:rsid w:val="009C7F99"/>
    <w:rsid w:val="009D2D45"/>
    <w:rsid w:val="009D4B15"/>
    <w:rsid w:val="009D625B"/>
    <w:rsid w:val="009E4E3C"/>
    <w:rsid w:val="009E5F92"/>
    <w:rsid w:val="009E73D4"/>
    <w:rsid w:val="009F0922"/>
    <w:rsid w:val="009F0DEF"/>
    <w:rsid w:val="009F2001"/>
    <w:rsid w:val="009F2BFB"/>
    <w:rsid w:val="009F5BDB"/>
    <w:rsid w:val="009F7666"/>
    <w:rsid w:val="00A0007F"/>
    <w:rsid w:val="00A016CE"/>
    <w:rsid w:val="00A016DF"/>
    <w:rsid w:val="00A02203"/>
    <w:rsid w:val="00A05577"/>
    <w:rsid w:val="00A076FB"/>
    <w:rsid w:val="00A1154B"/>
    <w:rsid w:val="00A11F03"/>
    <w:rsid w:val="00A1240D"/>
    <w:rsid w:val="00A124B4"/>
    <w:rsid w:val="00A12ADF"/>
    <w:rsid w:val="00A12B4A"/>
    <w:rsid w:val="00A133FB"/>
    <w:rsid w:val="00A141D2"/>
    <w:rsid w:val="00A1465B"/>
    <w:rsid w:val="00A14AD9"/>
    <w:rsid w:val="00A206D6"/>
    <w:rsid w:val="00A20775"/>
    <w:rsid w:val="00A20A82"/>
    <w:rsid w:val="00A216BA"/>
    <w:rsid w:val="00A2177F"/>
    <w:rsid w:val="00A2243D"/>
    <w:rsid w:val="00A22814"/>
    <w:rsid w:val="00A23B13"/>
    <w:rsid w:val="00A2539B"/>
    <w:rsid w:val="00A3344C"/>
    <w:rsid w:val="00A3536D"/>
    <w:rsid w:val="00A356DF"/>
    <w:rsid w:val="00A35C4F"/>
    <w:rsid w:val="00A4222C"/>
    <w:rsid w:val="00A422BE"/>
    <w:rsid w:val="00A4446D"/>
    <w:rsid w:val="00A44BF5"/>
    <w:rsid w:val="00A4711A"/>
    <w:rsid w:val="00A47D82"/>
    <w:rsid w:val="00A5238D"/>
    <w:rsid w:val="00A527B5"/>
    <w:rsid w:val="00A53413"/>
    <w:rsid w:val="00A54406"/>
    <w:rsid w:val="00A56200"/>
    <w:rsid w:val="00A56AF0"/>
    <w:rsid w:val="00A57864"/>
    <w:rsid w:val="00A646C0"/>
    <w:rsid w:val="00A65155"/>
    <w:rsid w:val="00A65630"/>
    <w:rsid w:val="00A66FBC"/>
    <w:rsid w:val="00A675A7"/>
    <w:rsid w:val="00A70C7B"/>
    <w:rsid w:val="00A71C21"/>
    <w:rsid w:val="00A72B9E"/>
    <w:rsid w:val="00A730B9"/>
    <w:rsid w:val="00A730C3"/>
    <w:rsid w:val="00A73D54"/>
    <w:rsid w:val="00A75147"/>
    <w:rsid w:val="00A80F94"/>
    <w:rsid w:val="00A82356"/>
    <w:rsid w:val="00A82A68"/>
    <w:rsid w:val="00A838FD"/>
    <w:rsid w:val="00A867B2"/>
    <w:rsid w:val="00A9012E"/>
    <w:rsid w:val="00A90F54"/>
    <w:rsid w:val="00A91940"/>
    <w:rsid w:val="00A93A93"/>
    <w:rsid w:val="00A96A94"/>
    <w:rsid w:val="00AA1A92"/>
    <w:rsid w:val="00AA3B7F"/>
    <w:rsid w:val="00AA3FFC"/>
    <w:rsid w:val="00AA4CA4"/>
    <w:rsid w:val="00AA4FF6"/>
    <w:rsid w:val="00AA5F83"/>
    <w:rsid w:val="00AA6899"/>
    <w:rsid w:val="00AA7729"/>
    <w:rsid w:val="00AB0B72"/>
    <w:rsid w:val="00AB132C"/>
    <w:rsid w:val="00AB466E"/>
    <w:rsid w:val="00AB503E"/>
    <w:rsid w:val="00AB5FB8"/>
    <w:rsid w:val="00AB6193"/>
    <w:rsid w:val="00AC014F"/>
    <w:rsid w:val="00AC0D6B"/>
    <w:rsid w:val="00AC36BD"/>
    <w:rsid w:val="00AC4C87"/>
    <w:rsid w:val="00AC6626"/>
    <w:rsid w:val="00AC75E6"/>
    <w:rsid w:val="00AD00B0"/>
    <w:rsid w:val="00AD143F"/>
    <w:rsid w:val="00AD2E58"/>
    <w:rsid w:val="00AD4064"/>
    <w:rsid w:val="00AD4758"/>
    <w:rsid w:val="00AD489E"/>
    <w:rsid w:val="00AD6126"/>
    <w:rsid w:val="00AD6FAB"/>
    <w:rsid w:val="00AE1F58"/>
    <w:rsid w:val="00AE3940"/>
    <w:rsid w:val="00AE476B"/>
    <w:rsid w:val="00AF05C6"/>
    <w:rsid w:val="00AF2811"/>
    <w:rsid w:val="00AF3C3F"/>
    <w:rsid w:val="00AF665A"/>
    <w:rsid w:val="00AF748D"/>
    <w:rsid w:val="00B02278"/>
    <w:rsid w:val="00B0254E"/>
    <w:rsid w:val="00B03719"/>
    <w:rsid w:val="00B039DC"/>
    <w:rsid w:val="00B06C7C"/>
    <w:rsid w:val="00B06DC8"/>
    <w:rsid w:val="00B10029"/>
    <w:rsid w:val="00B102B8"/>
    <w:rsid w:val="00B10713"/>
    <w:rsid w:val="00B10912"/>
    <w:rsid w:val="00B10F10"/>
    <w:rsid w:val="00B14293"/>
    <w:rsid w:val="00B1495C"/>
    <w:rsid w:val="00B16A98"/>
    <w:rsid w:val="00B17070"/>
    <w:rsid w:val="00B174DE"/>
    <w:rsid w:val="00B24024"/>
    <w:rsid w:val="00B2412D"/>
    <w:rsid w:val="00B24656"/>
    <w:rsid w:val="00B251CC"/>
    <w:rsid w:val="00B2541E"/>
    <w:rsid w:val="00B2586A"/>
    <w:rsid w:val="00B26AB3"/>
    <w:rsid w:val="00B26C3D"/>
    <w:rsid w:val="00B32254"/>
    <w:rsid w:val="00B32BAD"/>
    <w:rsid w:val="00B33968"/>
    <w:rsid w:val="00B34359"/>
    <w:rsid w:val="00B3579F"/>
    <w:rsid w:val="00B37159"/>
    <w:rsid w:val="00B40137"/>
    <w:rsid w:val="00B41424"/>
    <w:rsid w:val="00B4552F"/>
    <w:rsid w:val="00B47CA2"/>
    <w:rsid w:val="00B5069A"/>
    <w:rsid w:val="00B6203D"/>
    <w:rsid w:val="00B65804"/>
    <w:rsid w:val="00B66A00"/>
    <w:rsid w:val="00B703E7"/>
    <w:rsid w:val="00B70524"/>
    <w:rsid w:val="00B74115"/>
    <w:rsid w:val="00B74ECD"/>
    <w:rsid w:val="00B80252"/>
    <w:rsid w:val="00B835C6"/>
    <w:rsid w:val="00B87852"/>
    <w:rsid w:val="00B87989"/>
    <w:rsid w:val="00B87AAA"/>
    <w:rsid w:val="00B9289C"/>
    <w:rsid w:val="00B95F3A"/>
    <w:rsid w:val="00B96372"/>
    <w:rsid w:val="00B96A8F"/>
    <w:rsid w:val="00BA00DC"/>
    <w:rsid w:val="00BA068E"/>
    <w:rsid w:val="00BA112B"/>
    <w:rsid w:val="00BA5E97"/>
    <w:rsid w:val="00BB2653"/>
    <w:rsid w:val="00BB3DFD"/>
    <w:rsid w:val="00BB5908"/>
    <w:rsid w:val="00BB5D59"/>
    <w:rsid w:val="00BB5FF6"/>
    <w:rsid w:val="00BC00C8"/>
    <w:rsid w:val="00BC1093"/>
    <w:rsid w:val="00BC1330"/>
    <w:rsid w:val="00BC1B97"/>
    <w:rsid w:val="00BC3F50"/>
    <w:rsid w:val="00BC420F"/>
    <w:rsid w:val="00BC4688"/>
    <w:rsid w:val="00BC4727"/>
    <w:rsid w:val="00BC6649"/>
    <w:rsid w:val="00BD1170"/>
    <w:rsid w:val="00BD4B06"/>
    <w:rsid w:val="00BD5986"/>
    <w:rsid w:val="00BD7094"/>
    <w:rsid w:val="00BD7479"/>
    <w:rsid w:val="00BE2AE3"/>
    <w:rsid w:val="00BE3EEA"/>
    <w:rsid w:val="00BF0A8D"/>
    <w:rsid w:val="00BF172C"/>
    <w:rsid w:val="00BF35EF"/>
    <w:rsid w:val="00BF4DE2"/>
    <w:rsid w:val="00BF5C25"/>
    <w:rsid w:val="00BF6487"/>
    <w:rsid w:val="00C06DE9"/>
    <w:rsid w:val="00C078EE"/>
    <w:rsid w:val="00C1066F"/>
    <w:rsid w:val="00C108CC"/>
    <w:rsid w:val="00C11176"/>
    <w:rsid w:val="00C167F3"/>
    <w:rsid w:val="00C20216"/>
    <w:rsid w:val="00C2050E"/>
    <w:rsid w:val="00C20E07"/>
    <w:rsid w:val="00C20EED"/>
    <w:rsid w:val="00C22400"/>
    <w:rsid w:val="00C22577"/>
    <w:rsid w:val="00C228AB"/>
    <w:rsid w:val="00C22B9D"/>
    <w:rsid w:val="00C272F6"/>
    <w:rsid w:val="00C32DA9"/>
    <w:rsid w:val="00C35E30"/>
    <w:rsid w:val="00C35F0D"/>
    <w:rsid w:val="00C35FFF"/>
    <w:rsid w:val="00C366F5"/>
    <w:rsid w:val="00C42399"/>
    <w:rsid w:val="00C435ED"/>
    <w:rsid w:val="00C4405D"/>
    <w:rsid w:val="00C46468"/>
    <w:rsid w:val="00C4660F"/>
    <w:rsid w:val="00C510F4"/>
    <w:rsid w:val="00C52A6C"/>
    <w:rsid w:val="00C53D7E"/>
    <w:rsid w:val="00C551F5"/>
    <w:rsid w:val="00C56A07"/>
    <w:rsid w:val="00C60298"/>
    <w:rsid w:val="00C6165C"/>
    <w:rsid w:val="00C64867"/>
    <w:rsid w:val="00C65BB7"/>
    <w:rsid w:val="00C65E09"/>
    <w:rsid w:val="00C70B79"/>
    <w:rsid w:val="00C71030"/>
    <w:rsid w:val="00C7397E"/>
    <w:rsid w:val="00C73FA0"/>
    <w:rsid w:val="00C761F6"/>
    <w:rsid w:val="00C7627B"/>
    <w:rsid w:val="00C766DB"/>
    <w:rsid w:val="00C76F14"/>
    <w:rsid w:val="00C770FF"/>
    <w:rsid w:val="00C800D2"/>
    <w:rsid w:val="00C82778"/>
    <w:rsid w:val="00C82A54"/>
    <w:rsid w:val="00C82BE9"/>
    <w:rsid w:val="00C84336"/>
    <w:rsid w:val="00C853E5"/>
    <w:rsid w:val="00C912A2"/>
    <w:rsid w:val="00C96339"/>
    <w:rsid w:val="00C96558"/>
    <w:rsid w:val="00C96EE6"/>
    <w:rsid w:val="00C97D05"/>
    <w:rsid w:val="00CA2EE2"/>
    <w:rsid w:val="00CA5C00"/>
    <w:rsid w:val="00CB3082"/>
    <w:rsid w:val="00CB3918"/>
    <w:rsid w:val="00CB4278"/>
    <w:rsid w:val="00CB4463"/>
    <w:rsid w:val="00CB473F"/>
    <w:rsid w:val="00CB5EEB"/>
    <w:rsid w:val="00CC0ABF"/>
    <w:rsid w:val="00CC25EE"/>
    <w:rsid w:val="00CC3FA0"/>
    <w:rsid w:val="00CC6E66"/>
    <w:rsid w:val="00CD1711"/>
    <w:rsid w:val="00CD3CCF"/>
    <w:rsid w:val="00CD3DDE"/>
    <w:rsid w:val="00CD50DB"/>
    <w:rsid w:val="00CD5FAC"/>
    <w:rsid w:val="00CD6778"/>
    <w:rsid w:val="00CD6BE9"/>
    <w:rsid w:val="00CD756A"/>
    <w:rsid w:val="00CE2D4F"/>
    <w:rsid w:val="00CE4941"/>
    <w:rsid w:val="00CE5DFB"/>
    <w:rsid w:val="00CF2E95"/>
    <w:rsid w:val="00CF39AA"/>
    <w:rsid w:val="00D025D0"/>
    <w:rsid w:val="00D114A3"/>
    <w:rsid w:val="00D118B0"/>
    <w:rsid w:val="00D12262"/>
    <w:rsid w:val="00D1289A"/>
    <w:rsid w:val="00D13B69"/>
    <w:rsid w:val="00D177EA"/>
    <w:rsid w:val="00D20740"/>
    <w:rsid w:val="00D217B4"/>
    <w:rsid w:val="00D254BA"/>
    <w:rsid w:val="00D26183"/>
    <w:rsid w:val="00D303D2"/>
    <w:rsid w:val="00D324C3"/>
    <w:rsid w:val="00D3389B"/>
    <w:rsid w:val="00D35385"/>
    <w:rsid w:val="00D35A99"/>
    <w:rsid w:val="00D37920"/>
    <w:rsid w:val="00D37C4E"/>
    <w:rsid w:val="00D40EFD"/>
    <w:rsid w:val="00D4281B"/>
    <w:rsid w:val="00D43618"/>
    <w:rsid w:val="00D43C58"/>
    <w:rsid w:val="00D446E0"/>
    <w:rsid w:val="00D46872"/>
    <w:rsid w:val="00D574D4"/>
    <w:rsid w:val="00D617AA"/>
    <w:rsid w:val="00D63885"/>
    <w:rsid w:val="00D63AD5"/>
    <w:rsid w:val="00D70714"/>
    <w:rsid w:val="00D710FC"/>
    <w:rsid w:val="00D713D0"/>
    <w:rsid w:val="00D71AA2"/>
    <w:rsid w:val="00D71B7C"/>
    <w:rsid w:val="00D71B82"/>
    <w:rsid w:val="00D738B5"/>
    <w:rsid w:val="00D73CD8"/>
    <w:rsid w:val="00D73DF4"/>
    <w:rsid w:val="00D73F7C"/>
    <w:rsid w:val="00D74725"/>
    <w:rsid w:val="00D75063"/>
    <w:rsid w:val="00D75467"/>
    <w:rsid w:val="00D76B7F"/>
    <w:rsid w:val="00D779C9"/>
    <w:rsid w:val="00D82A17"/>
    <w:rsid w:val="00D834D1"/>
    <w:rsid w:val="00D8357A"/>
    <w:rsid w:val="00D83CE2"/>
    <w:rsid w:val="00D8495F"/>
    <w:rsid w:val="00D85723"/>
    <w:rsid w:val="00D857B2"/>
    <w:rsid w:val="00D85A2F"/>
    <w:rsid w:val="00D86EBE"/>
    <w:rsid w:val="00D9186A"/>
    <w:rsid w:val="00D91F13"/>
    <w:rsid w:val="00D939BC"/>
    <w:rsid w:val="00D955D0"/>
    <w:rsid w:val="00D959FF"/>
    <w:rsid w:val="00D95DBC"/>
    <w:rsid w:val="00D9683B"/>
    <w:rsid w:val="00DA2642"/>
    <w:rsid w:val="00DA26E9"/>
    <w:rsid w:val="00DA3CE8"/>
    <w:rsid w:val="00DA4131"/>
    <w:rsid w:val="00DA5057"/>
    <w:rsid w:val="00DA5908"/>
    <w:rsid w:val="00DB020D"/>
    <w:rsid w:val="00DB21C9"/>
    <w:rsid w:val="00DB464F"/>
    <w:rsid w:val="00DB4FA4"/>
    <w:rsid w:val="00DB5FE4"/>
    <w:rsid w:val="00DB6266"/>
    <w:rsid w:val="00DC3383"/>
    <w:rsid w:val="00DC3E2C"/>
    <w:rsid w:val="00DC58C9"/>
    <w:rsid w:val="00DC5EBB"/>
    <w:rsid w:val="00DC72A6"/>
    <w:rsid w:val="00DD2A10"/>
    <w:rsid w:val="00DD38C9"/>
    <w:rsid w:val="00DD4385"/>
    <w:rsid w:val="00DD7E7D"/>
    <w:rsid w:val="00DE0D8C"/>
    <w:rsid w:val="00DE0EAF"/>
    <w:rsid w:val="00DE11DF"/>
    <w:rsid w:val="00DE304C"/>
    <w:rsid w:val="00DE350E"/>
    <w:rsid w:val="00DE3AEB"/>
    <w:rsid w:val="00DE5D75"/>
    <w:rsid w:val="00DE6887"/>
    <w:rsid w:val="00DF0B3C"/>
    <w:rsid w:val="00DF30ED"/>
    <w:rsid w:val="00DF3E0F"/>
    <w:rsid w:val="00DF62BC"/>
    <w:rsid w:val="00DF70B4"/>
    <w:rsid w:val="00DF75D9"/>
    <w:rsid w:val="00E00080"/>
    <w:rsid w:val="00E00648"/>
    <w:rsid w:val="00E03948"/>
    <w:rsid w:val="00E0576A"/>
    <w:rsid w:val="00E05CD7"/>
    <w:rsid w:val="00E0664F"/>
    <w:rsid w:val="00E07E57"/>
    <w:rsid w:val="00E10752"/>
    <w:rsid w:val="00E108C9"/>
    <w:rsid w:val="00E10B58"/>
    <w:rsid w:val="00E10CA7"/>
    <w:rsid w:val="00E127E8"/>
    <w:rsid w:val="00E1281B"/>
    <w:rsid w:val="00E1720D"/>
    <w:rsid w:val="00E20486"/>
    <w:rsid w:val="00E227BD"/>
    <w:rsid w:val="00E23F91"/>
    <w:rsid w:val="00E26EE9"/>
    <w:rsid w:val="00E27F74"/>
    <w:rsid w:val="00E30B4E"/>
    <w:rsid w:val="00E31ECA"/>
    <w:rsid w:val="00E32CF3"/>
    <w:rsid w:val="00E33289"/>
    <w:rsid w:val="00E3416B"/>
    <w:rsid w:val="00E365D4"/>
    <w:rsid w:val="00E36EEE"/>
    <w:rsid w:val="00E3756D"/>
    <w:rsid w:val="00E41312"/>
    <w:rsid w:val="00E41876"/>
    <w:rsid w:val="00E41C93"/>
    <w:rsid w:val="00E444CC"/>
    <w:rsid w:val="00E44836"/>
    <w:rsid w:val="00E44B36"/>
    <w:rsid w:val="00E4754C"/>
    <w:rsid w:val="00E50744"/>
    <w:rsid w:val="00E50CB2"/>
    <w:rsid w:val="00E50DE1"/>
    <w:rsid w:val="00E5348D"/>
    <w:rsid w:val="00E53F09"/>
    <w:rsid w:val="00E55CA2"/>
    <w:rsid w:val="00E56E41"/>
    <w:rsid w:val="00E605F6"/>
    <w:rsid w:val="00E609F4"/>
    <w:rsid w:val="00E60C4B"/>
    <w:rsid w:val="00E61970"/>
    <w:rsid w:val="00E61A16"/>
    <w:rsid w:val="00E6215F"/>
    <w:rsid w:val="00E627AA"/>
    <w:rsid w:val="00E629F8"/>
    <w:rsid w:val="00E66B74"/>
    <w:rsid w:val="00E67141"/>
    <w:rsid w:val="00E67909"/>
    <w:rsid w:val="00E703FE"/>
    <w:rsid w:val="00E71ED7"/>
    <w:rsid w:val="00E729B5"/>
    <w:rsid w:val="00E7328D"/>
    <w:rsid w:val="00E7365A"/>
    <w:rsid w:val="00E743AB"/>
    <w:rsid w:val="00E754B4"/>
    <w:rsid w:val="00E75762"/>
    <w:rsid w:val="00E75D05"/>
    <w:rsid w:val="00E8389E"/>
    <w:rsid w:val="00E84834"/>
    <w:rsid w:val="00E86444"/>
    <w:rsid w:val="00E9081E"/>
    <w:rsid w:val="00E90D86"/>
    <w:rsid w:val="00E92B54"/>
    <w:rsid w:val="00E92FFD"/>
    <w:rsid w:val="00EA009C"/>
    <w:rsid w:val="00EA1C08"/>
    <w:rsid w:val="00EA32A6"/>
    <w:rsid w:val="00EA3980"/>
    <w:rsid w:val="00EA3EB2"/>
    <w:rsid w:val="00EA59CA"/>
    <w:rsid w:val="00EA67E7"/>
    <w:rsid w:val="00EB1CD7"/>
    <w:rsid w:val="00EB24FF"/>
    <w:rsid w:val="00EB3910"/>
    <w:rsid w:val="00EB512C"/>
    <w:rsid w:val="00EB5332"/>
    <w:rsid w:val="00EB548D"/>
    <w:rsid w:val="00EB68EE"/>
    <w:rsid w:val="00EB7970"/>
    <w:rsid w:val="00EB7E3A"/>
    <w:rsid w:val="00EC0D29"/>
    <w:rsid w:val="00EC618E"/>
    <w:rsid w:val="00EC73B1"/>
    <w:rsid w:val="00ED0379"/>
    <w:rsid w:val="00ED0D90"/>
    <w:rsid w:val="00ED10FA"/>
    <w:rsid w:val="00ED2E22"/>
    <w:rsid w:val="00ED32B5"/>
    <w:rsid w:val="00ED5233"/>
    <w:rsid w:val="00EE13B3"/>
    <w:rsid w:val="00EE2CE3"/>
    <w:rsid w:val="00EE2EC5"/>
    <w:rsid w:val="00EE38FF"/>
    <w:rsid w:val="00EE4FB8"/>
    <w:rsid w:val="00EE7754"/>
    <w:rsid w:val="00EE7D8B"/>
    <w:rsid w:val="00EF1E3D"/>
    <w:rsid w:val="00EF2479"/>
    <w:rsid w:val="00EF6394"/>
    <w:rsid w:val="00F04D84"/>
    <w:rsid w:val="00F0529F"/>
    <w:rsid w:val="00F0688C"/>
    <w:rsid w:val="00F06E77"/>
    <w:rsid w:val="00F1189C"/>
    <w:rsid w:val="00F126C9"/>
    <w:rsid w:val="00F13FC2"/>
    <w:rsid w:val="00F15A4E"/>
    <w:rsid w:val="00F20FF9"/>
    <w:rsid w:val="00F23AAE"/>
    <w:rsid w:val="00F23C8D"/>
    <w:rsid w:val="00F24C8D"/>
    <w:rsid w:val="00F24CF3"/>
    <w:rsid w:val="00F2663B"/>
    <w:rsid w:val="00F266BA"/>
    <w:rsid w:val="00F26CDF"/>
    <w:rsid w:val="00F26E5F"/>
    <w:rsid w:val="00F31279"/>
    <w:rsid w:val="00F312AE"/>
    <w:rsid w:val="00F320ED"/>
    <w:rsid w:val="00F3325F"/>
    <w:rsid w:val="00F336B2"/>
    <w:rsid w:val="00F34B11"/>
    <w:rsid w:val="00F352BB"/>
    <w:rsid w:val="00F35370"/>
    <w:rsid w:val="00F35884"/>
    <w:rsid w:val="00F35E27"/>
    <w:rsid w:val="00F376E4"/>
    <w:rsid w:val="00F37CC3"/>
    <w:rsid w:val="00F40DAB"/>
    <w:rsid w:val="00F42319"/>
    <w:rsid w:val="00F45A3B"/>
    <w:rsid w:val="00F46C6B"/>
    <w:rsid w:val="00F517F4"/>
    <w:rsid w:val="00F51D65"/>
    <w:rsid w:val="00F53DCF"/>
    <w:rsid w:val="00F541C3"/>
    <w:rsid w:val="00F57505"/>
    <w:rsid w:val="00F605ED"/>
    <w:rsid w:val="00F60CEE"/>
    <w:rsid w:val="00F623AD"/>
    <w:rsid w:val="00F62FDC"/>
    <w:rsid w:val="00F64798"/>
    <w:rsid w:val="00F647C2"/>
    <w:rsid w:val="00F65113"/>
    <w:rsid w:val="00F65F9B"/>
    <w:rsid w:val="00F67CEC"/>
    <w:rsid w:val="00F72906"/>
    <w:rsid w:val="00F732D3"/>
    <w:rsid w:val="00F74E23"/>
    <w:rsid w:val="00F80E59"/>
    <w:rsid w:val="00F82C38"/>
    <w:rsid w:val="00F83CF7"/>
    <w:rsid w:val="00F87A0E"/>
    <w:rsid w:val="00F87CBE"/>
    <w:rsid w:val="00F90286"/>
    <w:rsid w:val="00F95D80"/>
    <w:rsid w:val="00FA405E"/>
    <w:rsid w:val="00FA4BCB"/>
    <w:rsid w:val="00FB24A8"/>
    <w:rsid w:val="00FB3A9A"/>
    <w:rsid w:val="00FB4002"/>
    <w:rsid w:val="00FB4B21"/>
    <w:rsid w:val="00FB4E38"/>
    <w:rsid w:val="00FB6CBA"/>
    <w:rsid w:val="00FC0018"/>
    <w:rsid w:val="00FC014A"/>
    <w:rsid w:val="00FC0CF5"/>
    <w:rsid w:val="00FC0E8D"/>
    <w:rsid w:val="00FC247B"/>
    <w:rsid w:val="00FC3307"/>
    <w:rsid w:val="00FC4314"/>
    <w:rsid w:val="00FC4A77"/>
    <w:rsid w:val="00FC5B64"/>
    <w:rsid w:val="00FC5E54"/>
    <w:rsid w:val="00FC7A1A"/>
    <w:rsid w:val="00FD1109"/>
    <w:rsid w:val="00FD1E9B"/>
    <w:rsid w:val="00FD444C"/>
    <w:rsid w:val="00FD45F9"/>
    <w:rsid w:val="00FD519B"/>
    <w:rsid w:val="00FD618E"/>
    <w:rsid w:val="00FD675F"/>
    <w:rsid w:val="00FD76FD"/>
    <w:rsid w:val="00FE0BA4"/>
    <w:rsid w:val="00FE0CC1"/>
    <w:rsid w:val="00FE1976"/>
    <w:rsid w:val="00FE627B"/>
    <w:rsid w:val="00FF0D3F"/>
    <w:rsid w:val="00FF1ED7"/>
    <w:rsid w:val="00FF1F63"/>
    <w:rsid w:val="00FF383D"/>
    <w:rsid w:val="00FF46F2"/>
    <w:rsid w:val="00FF4821"/>
    <w:rsid w:val="00FF5630"/>
    <w:rsid w:val="00FF64C2"/>
    <w:rsid w:val="7E8B5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imes New Roman"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nhideWhenUsed="0" w:uiPriority="0" w:semiHidden="0" w:name="heading 5"/>
    <w:lsdException w:qFormat="1" w:uiPriority="9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vi-VN" w:eastAsia="en-US" w:bidi="ar-SA"/>
    </w:rPr>
  </w:style>
  <w:style w:type="paragraph" w:styleId="2">
    <w:name w:val="heading 1"/>
    <w:basedOn w:val="1"/>
    <w:next w:val="1"/>
    <w:link w:val="24"/>
    <w:autoRedefine/>
    <w:qFormat/>
    <w:uiPriority w:val="9"/>
    <w:pPr>
      <w:keepNext/>
      <w:keepLines/>
      <w:spacing w:before="240"/>
      <w:contextualSpacing/>
      <w:outlineLvl w:val="0"/>
    </w:pPr>
    <w:rPr>
      <w:rFonts w:eastAsiaTheme="majorEastAsia" w:cstheme="majorBidi"/>
      <w:b/>
      <w:sz w:val="28"/>
      <w:szCs w:val="32"/>
      <w:lang w:eastAsia="vi-VN"/>
    </w:rPr>
  </w:style>
  <w:style w:type="paragraph" w:styleId="3">
    <w:name w:val="heading 2"/>
    <w:basedOn w:val="1"/>
    <w:next w:val="1"/>
    <w:link w:val="25"/>
    <w:qFormat/>
    <w:uiPriority w:val="0"/>
    <w:pPr>
      <w:keepNext/>
      <w:spacing w:line="288" w:lineRule="auto"/>
      <w:ind w:firstLine="720"/>
      <w:jc w:val="both"/>
      <w:outlineLvl w:val="1"/>
    </w:pPr>
    <w:rPr>
      <w:rFonts w:ascii=".VnTimeH" w:hAnsi=".VnTimeH"/>
      <w:b/>
      <w:szCs w:val="20"/>
    </w:rPr>
  </w:style>
  <w:style w:type="paragraph" w:styleId="4">
    <w:name w:val="heading 3"/>
    <w:basedOn w:val="1"/>
    <w:next w:val="1"/>
    <w:link w:val="26"/>
    <w:qFormat/>
    <w:uiPriority w:val="0"/>
    <w:pPr>
      <w:keepNext/>
      <w:spacing w:line="288" w:lineRule="auto"/>
      <w:ind w:firstLine="720"/>
      <w:jc w:val="center"/>
      <w:outlineLvl w:val="2"/>
    </w:pPr>
    <w:rPr>
      <w:rFonts w:ascii=".VnTimeH" w:hAnsi=".VnTimeH"/>
      <w:b/>
      <w:szCs w:val="20"/>
    </w:rPr>
  </w:style>
  <w:style w:type="paragraph" w:styleId="5">
    <w:name w:val="heading 4"/>
    <w:basedOn w:val="1"/>
    <w:next w:val="1"/>
    <w:link w:val="27"/>
    <w:autoRedefine/>
    <w:unhideWhenUsed/>
    <w:qFormat/>
    <w:uiPriority w:val="9"/>
    <w:pPr>
      <w:keepNext/>
      <w:keepLines/>
      <w:spacing w:after="360" w:line="315" w:lineRule="atLeast"/>
      <w:ind w:firstLine="720"/>
      <w:outlineLvl w:val="3"/>
    </w:pPr>
    <w:rPr>
      <w:rFonts w:eastAsiaTheme="majorEastAsia" w:cstheme="majorBidi"/>
      <w:bCs/>
      <w:color w:val="000000"/>
      <w:sz w:val="28"/>
      <w:szCs w:val="28"/>
      <w:lang w:eastAsia="vi-VN"/>
    </w:rPr>
  </w:style>
  <w:style w:type="paragraph" w:styleId="6">
    <w:name w:val="heading 5"/>
    <w:basedOn w:val="1"/>
    <w:next w:val="1"/>
    <w:link w:val="28"/>
    <w:qFormat/>
    <w:uiPriority w:val="0"/>
    <w:pPr>
      <w:keepNext/>
      <w:spacing w:line="288" w:lineRule="auto"/>
      <w:outlineLvl w:val="4"/>
    </w:pPr>
    <w:rPr>
      <w:rFonts w:ascii=".VnTimeH" w:hAnsi=".VnTimeH"/>
      <w:b/>
      <w:szCs w:val="20"/>
    </w:rPr>
  </w:style>
  <w:style w:type="paragraph" w:styleId="7">
    <w:name w:val="heading 6"/>
    <w:basedOn w:val="1"/>
    <w:next w:val="1"/>
    <w:link w:val="29"/>
    <w:semiHidden/>
    <w:unhideWhenUsed/>
    <w:qFormat/>
    <w:uiPriority w:val="99"/>
    <w:pPr>
      <w:keepNext/>
      <w:keepLines/>
      <w:spacing w:before="40"/>
      <w:outlineLvl w:val="5"/>
    </w:pPr>
    <w:rPr>
      <w:rFonts w:asciiTheme="majorHAnsi" w:hAnsiTheme="majorHAnsi" w:eastAsiaTheme="majorEastAsia" w:cstheme="majorBidi"/>
      <w:color w:val="254061" w:themeColor="accent1" w:themeShade="80"/>
      <w:lang w:eastAsia="vi-VN"/>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36"/>
    <w:semiHidden/>
    <w:unhideWhenUsed/>
    <w:qFormat/>
    <w:uiPriority w:val="99"/>
    <w:rPr>
      <w:rFonts w:ascii="Tahoma" w:hAnsi="Tahoma"/>
      <w:sz w:val="16"/>
      <w:szCs w:val="16"/>
      <w:lang w:eastAsia="vi-VN"/>
    </w:rPr>
  </w:style>
  <w:style w:type="paragraph" w:styleId="11">
    <w:name w:val="Body Text"/>
    <w:basedOn w:val="1"/>
    <w:link w:val="30"/>
    <w:qFormat/>
    <w:uiPriority w:val="0"/>
    <w:pPr>
      <w:spacing w:after="120"/>
    </w:pPr>
    <w:rPr>
      <w:rFonts w:ascii=".VnTime" w:hAnsi=".VnTime"/>
      <w:sz w:val="28"/>
      <w:szCs w:val="20"/>
    </w:rPr>
  </w:style>
  <w:style w:type="paragraph" w:styleId="12">
    <w:name w:val="Body Text Indent"/>
    <w:basedOn w:val="1"/>
    <w:link w:val="40"/>
    <w:qFormat/>
    <w:uiPriority w:val="0"/>
    <w:pPr>
      <w:spacing w:after="120"/>
      <w:ind w:left="360"/>
    </w:pPr>
    <w:rPr>
      <w:rFonts w:ascii=".VnTime" w:hAnsi=".VnTime"/>
      <w:sz w:val="28"/>
      <w:szCs w:val="20"/>
    </w:rPr>
  </w:style>
  <w:style w:type="character" w:styleId="13">
    <w:name w:val="annotation reference"/>
    <w:basedOn w:val="8"/>
    <w:semiHidden/>
    <w:unhideWhenUsed/>
    <w:qFormat/>
    <w:uiPriority w:val="99"/>
    <w:rPr>
      <w:sz w:val="16"/>
      <w:szCs w:val="16"/>
    </w:rPr>
  </w:style>
  <w:style w:type="paragraph" w:styleId="14">
    <w:name w:val="annotation text"/>
    <w:basedOn w:val="1"/>
    <w:link w:val="37"/>
    <w:unhideWhenUsed/>
    <w:qFormat/>
    <w:uiPriority w:val="99"/>
    <w:rPr>
      <w:sz w:val="20"/>
      <w:szCs w:val="20"/>
      <w:lang w:eastAsia="vi-VN"/>
    </w:rPr>
  </w:style>
  <w:style w:type="paragraph" w:styleId="15">
    <w:name w:val="annotation subject"/>
    <w:basedOn w:val="14"/>
    <w:next w:val="14"/>
    <w:link w:val="38"/>
    <w:semiHidden/>
    <w:unhideWhenUsed/>
    <w:qFormat/>
    <w:uiPriority w:val="99"/>
    <w:rPr>
      <w:b/>
      <w:bCs/>
    </w:rPr>
  </w:style>
  <w:style w:type="character" w:styleId="16">
    <w:name w:val="Emphasis"/>
    <w:basedOn w:val="8"/>
    <w:qFormat/>
    <w:uiPriority w:val="20"/>
    <w:rPr>
      <w:i/>
      <w:iCs/>
    </w:rPr>
  </w:style>
  <w:style w:type="paragraph" w:styleId="17">
    <w:name w:val="footer"/>
    <w:basedOn w:val="1"/>
    <w:link w:val="33"/>
    <w:unhideWhenUsed/>
    <w:qFormat/>
    <w:uiPriority w:val="99"/>
    <w:pPr>
      <w:tabs>
        <w:tab w:val="center" w:pos="4680"/>
        <w:tab w:val="right" w:pos="9360"/>
      </w:tabs>
    </w:pPr>
  </w:style>
  <w:style w:type="character" w:styleId="18">
    <w:name w:val="footnote reference"/>
    <w:qFormat/>
    <w:uiPriority w:val="0"/>
    <w:rPr>
      <w:vertAlign w:val="superscript"/>
    </w:rPr>
  </w:style>
  <w:style w:type="paragraph" w:styleId="19">
    <w:name w:val="footnote text"/>
    <w:basedOn w:val="1"/>
    <w:link w:val="87"/>
    <w:uiPriority w:val="0"/>
    <w:rPr>
      <w:rFonts w:ascii=".VnTime" w:hAnsi=".VnTime"/>
      <w:sz w:val="20"/>
      <w:szCs w:val="20"/>
      <w:lang w:val="en-US"/>
    </w:rPr>
  </w:style>
  <w:style w:type="paragraph" w:styleId="20">
    <w:name w:val="header"/>
    <w:basedOn w:val="1"/>
    <w:link w:val="32"/>
    <w:unhideWhenUsed/>
    <w:qFormat/>
    <w:uiPriority w:val="99"/>
    <w:pPr>
      <w:tabs>
        <w:tab w:val="center" w:pos="4680"/>
        <w:tab w:val="right" w:pos="9360"/>
      </w:tabs>
    </w:pPr>
  </w:style>
  <w:style w:type="character" w:styleId="21">
    <w:name w:val="Hyperlink"/>
    <w:unhideWhenUsed/>
    <w:qFormat/>
    <w:uiPriority w:val="99"/>
    <w:rPr>
      <w:color w:val="0000FF"/>
      <w:u w:val="single"/>
    </w:rPr>
  </w:style>
  <w:style w:type="paragraph" w:styleId="22">
    <w:name w:val="Normal (Web)"/>
    <w:basedOn w:val="1"/>
    <w:link w:val="89"/>
    <w:unhideWhenUsed/>
    <w:qFormat/>
    <w:uiPriority w:val="99"/>
    <w:pPr>
      <w:spacing w:before="100" w:beforeAutospacing="1" w:after="100" w:afterAutospacing="1"/>
    </w:pPr>
  </w:style>
  <w:style w:type="character" w:styleId="23">
    <w:name w:val="Strong"/>
    <w:basedOn w:val="8"/>
    <w:qFormat/>
    <w:uiPriority w:val="22"/>
    <w:rPr>
      <w:b/>
      <w:bCs/>
    </w:rPr>
  </w:style>
  <w:style w:type="character" w:customStyle="1" w:styleId="24">
    <w:name w:val="Heading 1 Char"/>
    <w:basedOn w:val="8"/>
    <w:link w:val="2"/>
    <w:qFormat/>
    <w:uiPriority w:val="9"/>
    <w:rPr>
      <w:rFonts w:ascii="Times New Roman" w:hAnsi="Times New Roman" w:eastAsiaTheme="majorEastAsia" w:cstheme="majorBidi"/>
      <w:b/>
      <w:sz w:val="28"/>
      <w:szCs w:val="32"/>
      <w:lang w:val="vi-VN" w:eastAsia="vi-VN"/>
    </w:rPr>
  </w:style>
  <w:style w:type="character" w:customStyle="1" w:styleId="25">
    <w:name w:val="Heading 2 Char"/>
    <w:basedOn w:val="8"/>
    <w:link w:val="3"/>
    <w:uiPriority w:val="0"/>
    <w:rPr>
      <w:rFonts w:ascii=".VnTimeH" w:hAnsi=".VnTimeH" w:eastAsia="Times New Roman" w:cs="Times New Roman"/>
      <w:b/>
      <w:sz w:val="24"/>
      <w:szCs w:val="20"/>
    </w:rPr>
  </w:style>
  <w:style w:type="character" w:customStyle="1" w:styleId="26">
    <w:name w:val="Heading 3 Char"/>
    <w:basedOn w:val="8"/>
    <w:link w:val="4"/>
    <w:uiPriority w:val="0"/>
    <w:rPr>
      <w:rFonts w:ascii=".VnTimeH" w:hAnsi=".VnTimeH" w:eastAsia="Times New Roman" w:cs="Times New Roman"/>
      <w:b/>
      <w:sz w:val="24"/>
      <w:szCs w:val="20"/>
    </w:rPr>
  </w:style>
  <w:style w:type="character" w:customStyle="1" w:styleId="27">
    <w:name w:val="Heading 4 Char"/>
    <w:basedOn w:val="8"/>
    <w:link w:val="5"/>
    <w:uiPriority w:val="9"/>
    <w:rPr>
      <w:rFonts w:ascii="Times New Roman" w:hAnsi="Times New Roman" w:eastAsiaTheme="majorEastAsia" w:cstheme="majorBidi"/>
      <w:bCs/>
      <w:color w:val="000000"/>
      <w:sz w:val="28"/>
      <w:szCs w:val="28"/>
      <w:lang w:val="vi-VN" w:eastAsia="vi-VN"/>
    </w:rPr>
  </w:style>
  <w:style w:type="character" w:customStyle="1" w:styleId="28">
    <w:name w:val="Heading 5 Char"/>
    <w:basedOn w:val="8"/>
    <w:link w:val="6"/>
    <w:uiPriority w:val="0"/>
    <w:rPr>
      <w:rFonts w:ascii=".VnTimeH" w:hAnsi=".VnTimeH" w:eastAsia="Times New Roman" w:cs="Times New Roman"/>
      <w:b/>
      <w:sz w:val="24"/>
      <w:szCs w:val="20"/>
    </w:rPr>
  </w:style>
  <w:style w:type="character" w:customStyle="1" w:styleId="29">
    <w:name w:val="Heading 6 Char"/>
    <w:basedOn w:val="8"/>
    <w:link w:val="7"/>
    <w:semiHidden/>
    <w:qFormat/>
    <w:uiPriority w:val="99"/>
    <w:rPr>
      <w:rFonts w:asciiTheme="majorHAnsi" w:hAnsiTheme="majorHAnsi" w:eastAsiaTheme="majorEastAsia" w:cstheme="majorBidi"/>
      <w:color w:val="254061" w:themeColor="accent1" w:themeShade="80"/>
      <w:sz w:val="24"/>
      <w:szCs w:val="24"/>
      <w:lang w:val="vi-VN" w:eastAsia="vi-VN"/>
    </w:rPr>
  </w:style>
  <w:style w:type="character" w:customStyle="1" w:styleId="30">
    <w:name w:val="Body Text Char"/>
    <w:basedOn w:val="8"/>
    <w:link w:val="11"/>
    <w:uiPriority w:val="0"/>
    <w:rPr>
      <w:rFonts w:ascii=".VnTime" w:hAnsi=".VnTime" w:eastAsia="Times New Roman" w:cs="Times New Roman"/>
      <w:sz w:val="28"/>
      <w:szCs w:val="20"/>
    </w:rPr>
  </w:style>
  <w:style w:type="paragraph" w:styleId="31">
    <w:name w:val="List Paragraph"/>
    <w:basedOn w:val="1"/>
    <w:qFormat/>
    <w:uiPriority w:val="34"/>
    <w:pPr>
      <w:ind w:left="720"/>
      <w:contextualSpacing/>
    </w:pPr>
  </w:style>
  <w:style w:type="character" w:customStyle="1" w:styleId="32">
    <w:name w:val="Header Char"/>
    <w:basedOn w:val="8"/>
    <w:link w:val="20"/>
    <w:uiPriority w:val="99"/>
    <w:rPr>
      <w:rFonts w:ascii="Times New Roman" w:hAnsi="Times New Roman" w:cs="Times New Roman"/>
      <w:sz w:val="24"/>
      <w:szCs w:val="24"/>
    </w:rPr>
  </w:style>
  <w:style w:type="character" w:customStyle="1" w:styleId="33">
    <w:name w:val="Footer Char"/>
    <w:basedOn w:val="8"/>
    <w:link w:val="17"/>
    <w:uiPriority w:val="99"/>
    <w:rPr>
      <w:rFonts w:ascii="Times New Roman" w:hAnsi="Times New Roman" w:cs="Times New Roman"/>
      <w:sz w:val="24"/>
      <w:szCs w:val="24"/>
    </w:rPr>
  </w:style>
  <w:style w:type="character" w:customStyle="1" w:styleId="34">
    <w:name w:val="highlight"/>
    <w:qFormat/>
    <w:uiPriority w:val="0"/>
  </w:style>
  <w:style w:type="character" w:customStyle="1" w:styleId="35">
    <w:name w:val="apple-converted-space"/>
    <w:qFormat/>
    <w:uiPriority w:val="0"/>
  </w:style>
  <w:style w:type="character" w:customStyle="1" w:styleId="36">
    <w:name w:val="Balloon Text Char"/>
    <w:basedOn w:val="8"/>
    <w:link w:val="10"/>
    <w:semiHidden/>
    <w:qFormat/>
    <w:uiPriority w:val="99"/>
    <w:rPr>
      <w:rFonts w:ascii="Tahoma" w:hAnsi="Tahoma" w:cs="Times New Roman"/>
      <w:sz w:val="16"/>
      <w:szCs w:val="16"/>
      <w:lang w:val="vi-VN" w:eastAsia="vi-VN"/>
    </w:rPr>
  </w:style>
  <w:style w:type="character" w:customStyle="1" w:styleId="37">
    <w:name w:val="Comment Text Char"/>
    <w:basedOn w:val="8"/>
    <w:link w:val="14"/>
    <w:qFormat/>
    <w:uiPriority w:val="99"/>
    <w:rPr>
      <w:rFonts w:ascii="Times New Roman" w:hAnsi="Times New Roman" w:cs="Times New Roman"/>
      <w:sz w:val="20"/>
      <w:szCs w:val="20"/>
      <w:lang w:val="vi-VN" w:eastAsia="vi-VN"/>
    </w:rPr>
  </w:style>
  <w:style w:type="character" w:customStyle="1" w:styleId="38">
    <w:name w:val="Comment Subject Char"/>
    <w:basedOn w:val="37"/>
    <w:link w:val="15"/>
    <w:semiHidden/>
    <w:qFormat/>
    <w:uiPriority w:val="99"/>
    <w:rPr>
      <w:rFonts w:ascii="Times New Roman" w:hAnsi="Times New Roman" w:cs="Times New Roman"/>
      <w:b/>
      <w:bCs/>
      <w:sz w:val="20"/>
      <w:szCs w:val="20"/>
      <w:lang w:val="vi-VN" w:eastAsia="vi-VN"/>
    </w:rPr>
  </w:style>
  <w:style w:type="paragraph" w:customStyle="1" w:styleId="39">
    <w:name w:val="Style1"/>
    <w:basedOn w:val="1"/>
    <w:qFormat/>
    <w:uiPriority w:val="99"/>
    <w:pPr>
      <w:widowControl w:val="0"/>
      <w:autoSpaceDE w:val="0"/>
      <w:autoSpaceDN w:val="0"/>
      <w:adjustRightInd w:val="0"/>
    </w:pPr>
  </w:style>
  <w:style w:type="character" w:customStyle="1" w:styleId="40">
    <w:name w:val="Body Text Indent Char"/>
    <w:basedOn w:val="8"/>
    <w:link w:val="12"/>
    <w:qFormat/>
    <w:uiPriority w:val="0"/>
    <w:rPr>
      <w:rFonts w:ascii=".VnTime" w:hAnsi=".VnTime" w:cs="Times New Roman"/>
      <w:sz w:val="28"/>
      <w:szCs w:val="20"/>
    </w:rPr>
  </w:style>
  <w:style w:type="paragraph" w:customStyle="1" w:styleId="41">
    <w:name w:val="Defaul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en-US" w:eastAsia="en-US" w:bidi="ar-SA"/>
    </w:rPr>
  </w:style>
  <w:style w:type="character" w:customStyle="1" w:styleId="42">
    <w:name w:val="fontstyle01"/>
    <w:qFormat/>
    <w:uiPriority w:val="0"/>
    <w:rPr>
      <w:rFonts w:hint="default" w:ascii="Times New Roman" w:hAnsi="Times New Roman" w:cs="Times New Roman"/>
      <w:color w:val="000000"/>
      <w:sz w:val="26"/>
      <w:szCs w:val="26"/>
    </w:rPr>
  </w:style>
  <w:style w:type="paragraph" w:customStyle="1" w:styleId="43">
    <w:name w:val="msonormal"/>
    <w:basedOn w:val="1"/>
    <w:qFormat/>
    <w:uiPriority w:val="0"/>
    <w:pPr>
      <w:spacing w:before="100" w:beforeAutospacing="1" w:after="100" w:afterAutospacing="1"/>
    </w:pPr>
  </w:style>
  <w:style w:type="paragraph" w:customStyle="1" w:styleId="44">
    <w:name w:val="font5"/>
    <w:basedOn w:val="1"/>
    <w:qFormat/>
    <w:uiPriority w:val="0"/>
    <w:pPr>
      <w:spacing w:before="100" w:beforeAutospacing="1" w:after="100" w:afterAutospacing="1"/>
    </w:pPr>
    <w:rPr>
      <w:color w:val="000000"/>
      <w:sz w:val="26"/>
      <w:szCs w:val="26"/>
    </w:rPr>
  </w:style>
  <w:style w:type="paragraph" w:customStyle="1" w:styleId="45">
    <w:name w:val="font6"/>
    <w:basedOn w:val="1"/>
    <w:qFormat/>
    <w:uiPriority w:val="0"/>
    <w:pPr>
      <w:spacing w:before="100" w:beforeAutospacing="1" w:after="100" w:afterAutospacing="1"/>
    </w:pPr>
    <w:rPr>
      <w:b/>
      <w:bCs/>
      <w:color w:val="000000"/>
      <w:sz w:val="26"/>
      <w:szCs w:val="26"/>
    </w:rPr>
  </w:style>
  <w:style w:type="paragraph" w:customStyle="1" w:styleId="46">
    <w:name w:val="xl6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both"/>
      <w:textAlignment w:val="center"/>
    </w:pPr>
    <w:rPr>
      <w:sz w:val="26"/>
      <w:szCs w:val="26"/>
    </w:rPr>
  </w:style>
  <w:style w:type="paragraph" w:customStyle="1" w:styleId="47">
    <w:name w:val="xl6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6"/>
      <w:szCs w:val="26"/>
    </w:rPr>
  </w:style>
  <w:style w:type="paragraph" w:customStyle="1" w:styleId="48">
    <w:name w:val="xl65"/>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sz w:val="26"/>
      <w:szCs w:val="26"/>
    </w:rPr>
  </w:style>
  <w:style w:type="paragraph" w:customStyle="1" w:styleId="49">
    <w:name w:val="xl6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6"/>
      <w:szCs w:val="26"/>
    </w:rPr>
  </w:style>
  <w:style w:type="paragraph" w:customStyle="1" w:styleId="50">
    <w:name w:val="xl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both"/>
      <w:textAlignment w:val="center"/>
    </w:pPr>
    <w:rPr>
      <w:color w:val="000000"/>
      <w:sz w:val="26"/>
      <w:szCs w:val="26"/>
    </w:rPr>
  </w:style>
  <w:style w:type="paragraph" w:customStyle="1" w:styleId="51">
    <w:name w:val="xl6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sz w:val="26"/>
      <w:szCs w:val="26"/>
    </w:rPr>
  </w:style>
  <w:style w:type="paragraph" w:customStyle="1" w:styleId="52">
    <w:name w:val="xl69"/>
    <w:basedOn w:val="1"/>
    <w:qFormat/>
    <w:uiPriority w:val="0"/>
    <w:pPr>
      <w:pBdr>
        <w:top w:val="single" w:color="auto" w:sz="4" w:space="0"/>
        <w:left w:val="single" w:color="auto" w:sz="4" w:space="0"/>
        <w:right w:val="single" w:color="auto" w:sz="4" w:space="0"/>
      </w:pBdr>
      <w:spacing w:before="100" w:beforeAutospacing="1" w:after="100" w:afterAutospacing="1"/>
      <w:jc w:val="both"/>
      <w:textAlignment w:val="center"/>
    </w:pPr>
    <w:rPr>
      <w:sz w:val="26"/>
      <w:szCs w:val="26"/>
    </w:rPr>
  </w:style>
  <w:style w:type="paragraph" w:customStyle="1" w:styleId="53">
    <w:name w:val="xl70"/>
    <w:basedOn w:val="1"/>
    <w:qFormat/>
    <w:uiPriority w:val="0"/>
    <w:pPr>
      <w:pBdr>
        <w:top w:val="single" w:color="auto" w:sz="4" w:space="0"/>
        <w:bottom w:val="single" w:color="auto" w:sz="4" w:space="0"/>
        <w:right w:val="single" w:color="auto" w:sz="4" w:space="0"/>
      </w:pBdr>
      <w:spacing w:before="100" w:beforeAutospacing="1" w:after="100" w:afterAutospacing="1"/>
      <w:jc w:val="both"/>
      <w:textAlignment w:val="center"/>
    </w:pPr>
    <w:rPr>
      <w:sz w:val="26"/>
      <w:szCs w:val="26"/>
    </w:rPr>
  </w:style>
  <w:style w:type="paragraph" w:customStyle="1" w:styleId="54">
    <w:name w:val="xl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sz w:val="26"/>
      <w:szCs w:val="26"/>
    </w:rPr>
  </w:style>
  <w:style w:type="paragraph" w:customStyle="1" w:styleId="55">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color w:val="000000"/>
      <w:sz w:val="26"/>
      <w:szCs w:val="26"/>
    </w:rPr>
  </w:style>
  <w:style w:type="paragraph" w:customStyle="1" w:styleId="56">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6"/>
      <w:szCs w:val="26"/>
    </w:rPr>
  </w:style>
  <w:style w:type="paragraph" w:customStyle="1" w:styleId="57">
    <w:name w:val="xl74"/>
    <w:basedOn w:val="1"/>
    <w:qFormat/>
    <w:uiPriority w:val="0"/>
    <w:pPr>
      <w:pBdr>
        <w:top w:val="single" w:color="auto" w:sz="4" w:space="0"/>
        <w:left w:val="single" w:color="auto" w:sz="4" w:space="0"/>
        <w:right w:val="single" w:color="auto" w:sz="4" w:space="0"/>
      </w:pBdr>
      <w:spacing w:before="100" w:beforeAutospacing="1" w:after="100" w:afterAutospacing="1"/>
    </w:pPr>
    <w:rPr>
      <w:sz w:val="26"/>
      <w:szCs w:val="26"/>
    </w:rPr>
  </w:style>
  <w:style w:type="paragraph" w:customStyle="1" w:styleId="58">
    <w:name w:val="xl75"/>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sz w:val="26"/>
      <w:szCs w:val="26"/>
    </w:rPr>
  </w:style>
  <w:style w:type="paragraph" w:customStyle="1" w:styleId="59">
    <w:name w:val="xl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6"/>
      <w:szCs w:val="26"/>
    </w:rPr>
  </w:style>
  <w:style w:type="paragraph" w:customStyle="1" w:styleId="60">
    <w:name w:val="xl77"/>
    <w:basedOn w:val="1"/>
    <w:qFormat/>
    <w:uiPriority w:val="0"/>
    <w:pPr>
      <w:pBdr>
        <w:top w:val="single" w:color="auto" w:sz="4" w:space="0"/>
        <w:left w:val="single" w:color="auto" w:sz="4" w:space="0"/>
        <w:bottom w:val="single" w:color="auto" w:sz="4" w:space="0"/>
      </w:pBdr>
      <w:spacing w:before="100" w:beforeAutospacing="1" w:after="100" w:afterAutospacing="1"/>
      <w:textAlignment w:val="center"/>
    </w:pPr>
    <w:rPr>
      <w:b/>
      <w:bCs/>
      <w:sz w:val="26"/>
      <w:szCs w:val="26"/>
    </w:rPr>
  </w:style>
  <w:style w:type="paragraph" w:customStyle="1" w:styleId="61">
    <w:name w:val="xl78"/>
    <w:basedOn w:val="1"/>
    <w:qFormat/>
    <w:uiPriority w:val="0"/>
    <w:pPr>
      <w:pBdr>
        <w:top w:val="single" w:color="auto" w:sz="4" w:space="0"/>
        <w:bottom w:val="single" w:color="auto" w:sz="4" w:space="0"/>
      </w:pBdr>
      <w:spacing w:before="100" w:beforeAutospacing="1" w:after="100" w:afterAutospacing="1"/>
      <w:textAlignment w:val="center"/>
    </w:pPr>
    <w:rPr>
      <w:b/>
      <w:bCs/>
      <w:sz w:val="26"/>
      <w:szCs w:val="26"/>
    </w:rPr>
  </w:style>
  <w:style w:type="paragraph" w:customStyle="1" w:styleId="62">
    <w:name w:val="xl79"/>
    <w:basedOn w:val="1"/>
    <w:uiPriority w:val="0"/>
    <w:pPr>
      <w:pBdr>
        <w:top w:val="single" w:color="auto" w:sz="4" w:space="0"/>
        <w:bottom w:val="single" w:color="auto" w:sz="4" w:space="0"/>
        <w:right w:val="single" w:color="auto" w:sz="4" w:space="0"/>
      </w:pBdr>
      <w:spacing w:before="100" w:beforeAutospacing="1" w:after="100" w:afterAutospacing="1"/>
      <w:textAlignment w:val="center"/>
    </w:pPr>
    <w:rPr>
      <w:b/>
      <w:bCs/>
      <w:sz w:val="26"/>
      <w:szCs w:val="26"/>
    </w:rPr>
  </w:style>
  <w:style w:type="paragraph" w:customStyle="1" w:styleId="63">
    <w:name w:val="xl80"/>
    <w:basedOn w:val="1"/>
    <w:qFormat/>
    <w:uiPriority w:val="0"/>
    <w:pPr>
      <w:spacing w:before="100" w:beforeAutospacing="1" w:after="100" w:afterAutospacing="1"/>
    </w:pPr>
    <w:rPr>
      <w:sz w:val="26"/>
      <w:szCs w:val="26"/>
    </w:rPr>
  </w:style>
  <w:style w:type="paragraph" w:customStyle="1" w:styleId="64">
    <w:name w:val="xl81"/>
    <w:basedOn w:val="1"/>
    <w:uiPriority w:val="0"/>
    <w:pPr>
      <w:pBdr>
        <w:left w:val="single" w:color="auto" w:sz="4" w:space="0"/>
        <w:bottom w:val="single" w:color="auto" w:sz="4" w:space="0"/>
        <w:right w:val="single" w:color="auto" w:sz="4" w:space="0"/>
      </w:pBdr>
      <w:spacing w:before="100" w:beforeAutospacing="1" w:after="100" w:afterAutospacing="1"/>
    </w:pPr>
    <w:rPr>
      <w:sz w:val="26"/>
      <w:szCs w:val="26"/>
    </w:rPr>
  </w:style>
  <w:style w:type="paragraph" w:customStyle="1" w:styleId="65">
    <w:name w:val="xl82"/>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sz w:val="26"/>
      <w:szCs w:val="26"/>
    </w:rPr>
  </w:style>
  <w:style w:type="paragraph" w:customStyle="1" w:styleId="66">
    <w:name w:val="xl83"/>
    <w:basedOn w:val="1"/>
    <w:qFormat/>
    <w:uiPriority w:val="0"/>
    <w:pPr>
      <w:pBdr>
        <w:top w:val="single" w:color="auto" w:sz="4" w:space="0"/>
        <w:left w:val="single" w:color="auto" w:sz="4" w:space="0"/>
        <w:bottom w:val="single" w:color="auto" w:sz="4" w:space="0"/>
      </w:pBdr>
      <w:spacing w:before="100" w:beforeAutospacing="1" w:after="100" w:afterAutospacing="1"/>
    </w:pPr>
    <w:rPr>
      <w:b/>
      <w:bCs/>
      <w:sz w:val="26"/>
      <w:szCs w:val="26"/>
    </w:rPr>
  </w:style>
  <w:style w:type="paragraph" w:customStyle="1" w:styleId="67">
    <w:name w:val="xl84"/>
    <w:basedOn w:val="1"/>
    <w:qFormat/>
    <w:uiPriority w:val="0"/>
    <w:pPr>
      <w:pBdr>
        <w:top w:val="single" w:color="auto" w:sz="4" w:space="0"/>
        <w:bottom w:val="single" w:color="auto" w:sz="4" w:space="0"/>
      </w:pBdr>
      <w:spacing w:before="100" w:beforeAutospacing="1" w:after="100" w:afterAutospacing="1"/>
    </w:pPr>
    <w:rPr>
      <w:b/>
      <w:bCs/>
      <w:sz w:val="26"/>
      <w:szCs w:val="26"/>
    </w:rPr>
  </w:style>
  <w:style w:type="paragraph" w:customStyle="1" w:styleId="68">
    <w:name w:val="xl85"/>
    <w:basedOn w:val="1"/>
    <w:qFormat/>
    <w:uiPriority w:val="0"/>
    <w:pPr>
      <w:pBdr>
        <w:top w:val="single" w:color="auto" w:sz="4" w:space="0"/>
        <w:bottom w:val="single" w:color="auto" w:sz="4" w:space="0"/>
        <w:right w:val="single" w:color="auto" w:sz="4" w:space="0"/>
      </w:pBdr>
      <w:spacing w:before="100" w:beforeAutospacing="1" w:after="100" w:afterAutospacing="1"/>
    </w:pPr>
    <w:rPr>
      <w:b/>
      <w:bCs/>
      <w:sz w:val="26"/>
      <w:szCs w:val="26"/>
    </w:rPr>
  </w:style>
  <w:style w:type="paragraph" w:customStyle="1" w:styleId="69">
    <w:name w:val="xl86"/>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b/>
      <w:bCs/>
      <w:sz w:val="26"/>
      <w:szCs w:val="26"/>
    </w:rPr>
  </w:style>
  <w:style w:type="paragraph" w:customStyle="1" w:styleId="70">
    <w:name w:val="xl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6"/>
      <w:szCs w:val="26"/>
    </w:rPr>
  </w:style>
  <w:style w:type="paragraph" w:customStyle="1" w:styleId="71">
    <w:name w:val="xl88"/>
    <w:basedOn w:val="1"/>
    <w:qFormat/>
    <w:uiPriority w:val="0"/>
    <w:pPr>
      <w:spacing w:before="100" w:beforeAutospacing="1" w:after="100" w:afterAutospacing="1"/>
    </w:pPr>
    <w:rPr>
      <w:b/>
      <w:bCs/>
      <w:sz w:val="26"/>
      <w:szCs w:val="26"/>
    </w:rPr>
  </w:style>
  <w:style w:type="paragraph" w:customStyle="1" w:styleId="72">
    <w:name w:val="xl89"/>
    <w:basedOn w:val="1"/>
    <w:uiPriority w:val="0"/>
    <w:pPr>
      <w:pBdr>
        <w:top w:val="single" w:color="auto" w:sz="4" w:space="0"/>
        <w:left w:val="single" w:color="auto" w:sz="4" w:space="0"/>
        <w:bottom w:val="single" w:color="auto" w:sz="4" w:space="0"/>
      </w:pBdr>
      <w:spacing w:before="100" w:beforeAutospacing="1" w:after="100" w:afterAutospacing="1"/>
      <w:textAlignment w:val="center"/>
    </w:pPr>
    <w:rPr>
      <w:b/>
      <w:bCs/>
      <w:color w:val="000000"/>
      <w:sz w:val="26"/>
      <w:szCs w:val="26"/>
    </w:rPr>
  </w:style>
  <w:style w:type="paragraph" w:customStyle="1" w:styleId="73">
    <w:name w:val="xl90"/>
    <w:basedOn w:val="1"/>
    <w:qFormat/>
    <w:uiPriority w:val="0"/>
    <w:pPr>
      <w:pBdr>
        <w:top w:val="single" w:color="auto" w:sz="4" w:space="0"/>
        <w:bottom w:val="single" w:color="auto" w:sz="4" w:space="0"/>
      </w:pBdr>
      <w:spacing w:before="100" w:beforeAutospacing="1" w:after="100" w:afterAutospacing="1"/>
      <w:textAlignment w:val="center"/>
    </w:pPr>
    <w:rPr>
      <w:b/>
      <w:bCs/>
      <w:color w:val="000000"/>
      <w:sz w:val="26"/>
      <w:szCs w:val="26"/>
    </w:rPr>
  </w:style>
  <w:style w:type="paragraph" w:customStyle="1" w:styleId="74">
    <w:name w:val="xl91"/>
    <w:basedOn w:val="1"/>
    <w:uiPriority w:val="0"/>
    <w:pPr>
      <w:pBdr>
        <w:top w:val="single" w:color="auto" w:sz="4" w:space="0"/>
        <w:bottom w:val="single" w:color="auto" w:sz="4" w:space="0"/>
        <w:right w:val="single" w:color="auto" w:sz="4" w:space="0"/>
      </w:pBdr>
      <w:spacing w:before="100" w:beforeAutospacing="1" w:after="100" w:afterAutospacing="1"/>
      <w:textAlignment w:val="center"/>
    </w:pPr>
    <w:rPr>
      <w:b/>
      <w:bCs/>
      <w:color w:val="000000"/>
      <w:sz w:val="26"/>
      <w:szCs w:val="26"/>
    </w:rPr>
  </w:style>
  <w:style w:type="paragraph" w:customStyle="1" w:styleId="75">
    <w:name w:val="xl92"/>
    <w:basedOn w:val="1"/>
    <w:qFormat/>
    <w:uiPriority w:val="0"/>
    <w:pPr>
      <w:pBdr>
        <w:top w:val="single" w:color="auto" w:sz="4" w:space="0"/>
        <w:left w:val="single" w:color="auto" w:sz="4" w:space="0"/>
        <w:right w:val="single" w:color="auto" w:sz="4" w:space="0"/>
      </w:pBdr>
      <w:spacing w:before="100" w:beforeAutospacing="1" w:after="100" w:afterAutospacing="1"/>
      <w:jc w:val="both"/>
      <w:textAlignment w:val="center"/>
    </w:pPr>
    <w:rPr>
      <w:color w:val="000000"/>
      <w:sz w:val="26"/>
      <w:szCs w:val="26"/>
    </w:rPr>
  </w:style>
  <w:style w:type="paragraph" w:customStyle="1" w:styleId="76">
    <w:name w:val="xl9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customStyle="1" w:styleId="77">
    <w:name w:val="xl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6"/>
      <w:szCs w:val="26"/>
    </w:rPr>
  </w:style>
  <w:style w:type="paragraph" w:customStyle="1" w:styleId="78">
    <w:name w:val="xl95"/>
    <w:basedOn w:val="1"/>
    <w:qFormat/>
    <w:uiPriority w:val="0"/>
    <w:pPr>
      <w:pBdr>
        <w:top w:val="single" w:color="auto" w:sz="4" w:space="0"/>
        <w:bottom w:val="single" w:color="auto" w:sz="4" w:space="0"/>
      </w:pBdr>
      <w:spacing w:before="100" w:beforeAutospacing="1" w:after="100" w:afterAutospacing="1"/>
      <w:jc w:val="center"/>
      <w:textAlignment w:val="center"/>
    </w:pPr>
    <w:rPr>
      <w:sz w:val="26"/>
      <w:szCs w:val="26"/>
    </w:rPr>
  </w:style>
  <w:style w:type="paragraph" w:customStyle="1" w:styleId="79">
    <w:name w:val="xl96"/>
    <w:basedOn w:val="1"/>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sz w:val="26"/>
      <w:szCs w:val="26"/>
    </w:rPr>
  </w:style>
  <w:style w:type="paragraph" w:customStyle="1" w:styleId="80">
    <w:name w:val="xl97"/>
    <w:basedOn w:val="1"/>
    <w:qFormat/>
    <w:uiPriority w:val="0"/>
    <w:pPr>
      <w:pBdr>
        <w:top w:val="single" w:color="auto" w:sz="4" w:space="0"/>
        <w:bottom w:val="single" w:color="auto" w:sz="4" w:space="0"/>
      </w:pBdr>
      <w:spacing w:before="100" w:beforeAutospacing="1" w:after="100" w:afterAutospacing="1"/>
      <w:jc w:val="center"/>
      <w:textAlignment w:val="center"/>
    </w:pPr>
    <w:rPr>
      <w:sz w:val="26"/>
      <w:szCs w:val="26"/>
    </w:rPr>
  </w:style>
  <w:style w:type="paragraph" w:customStyle="1" w:styleId="81">
    <w:name w:val="xl9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sz w:val="26"/>
      <w:szCs w:val="26"/>
    </w:rPr>
  </w:style>
  <w:style w:type="paragraph" w:customStyle="1" w:styleId="82">
    <w:name w:val="xl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both"/>
      <w:textAlignment w:val="center"/>
    </w:pPr>
    <w:rPr>
      <w:b/>
      <w:bCs/>
      <w:sz w:val="26"/>
      <w:szCs w:val="26"/>
    </w:rPr>
  </w:style>
  <w:style w:type="paragraph" w:customStyle="1" w:styleId="83">
    <w:name w:val="Doan van"/>
    <w:basedOn w:val="1"/>
    <w:link w:val="84"/>
    <w:qFormat/>
    <w:uiPriority w:val="0"/>
    <w:pPr>
      <w:suppressAutoHyphens/>
      <w:spacing w:before="120" w:after="120" w:line="288" w:lineRule="auto"/>
      <w:ind w:firstLine="706"/>
      <w:contextualSpacing/>
      <w:jc w:val="both"/>
    </w:pPr>
    <w:rPr>
      <w:rFonts w:eastAsia="SimSun"/>
      <w:bCs/>
      <w:color w:val="000000"/>
      <w:spacing w:val="-4"/>
      <w:kern w:val="1"/>
      <w:sz w:val="28"/>
      <w:lang w:val="nl-NL" w:eastAsia="zh-CN"/>
    </w:rPr>
  </w:style>
  <w:style w:type="character" w:customStyle="1" w:styleId="84">
    <w:name w:val="Doan van Char"/>
    <w:link w:val="83"/>
    <w:qFormat/>
    <w:uiPriority w:val="0"/>
    <w:rPr>
      <w:rFonts w:ascii="Times New Roman" w:hAnsi="Times New Roman" w:eastAsia="SimSun" w:cs="Times New Roman"/>
      <w:bCs/>
      <w:color w:val="000000"/>
      <w:spacing w:val="-4"/>
      <w:kern w:val="1"/>
      <w:sz w:val="28"/>
      <w:szCs w:val="24"/>
      <w:lang w:val="nl-NL" w:eastAsia="zh-CN"/>
    </w:rPr>
  </w:style>
  <w:style w:type="paragraph" w:customStyle="1" w:styleId="85">
    <w:name w:val="Table Paragraph"/>
    <w:basedOn w:val="1"/>
    <w:qFormat/>
    <w:uiPriority w:val="1"/>
    <w:pPr>
      <w:widowControl w:val="0"/>
      <w:autoSpaceDE w:val="0"/>
      <w:autoSpaceDN w:val="0"/>
    </w:pPr>
    <w:rPr>
      <w:sz w:val="22"/>
      <w:szCs w:val="22"/>
    </w:rPr>
  </w:style>
  <w:style w:type="character" w:customStyle="1" w:styleId="86">
    <w:name w:val="markedcontent"/>
    <w:basedOn w:val="8"/>
    <w:qFormat/>
    <w:uiPriority w:val="0"/>
  </w:style>
  <w:style w:type="character" w:customStyle="1" w:styleId="87">
    <w:name w:val="Footnote Text Char"/>
    <w:basedOn w:val="8"/>
    <w:link w:val="19"/>
    <w:uiPriority w:val="0"/>
    <w:rPr>
      <w:rFonts w:ascii=".VnTime" w:hAnsi=".VnTime" w:cs="Times New Roman"/>
      <w:sz w:val="20"/>
      <w:szCs w:val="20"/>
    </w:rPr>
  </w:style>
  <w:style w:type="paragraph" w:customStyle="1" w:styleId="88">
    <w:name w:val="Revision"/>
    <w:hidden/>
    <w:semiHidden/>
    <w:qFormat/>
    <w:uiPriority w:val="99"/>
    <w:pPr>
      <w:spacing w:after="0" w:line="240" w:lineRule="auto"/>
    </w:pPr>
    <w:rPr>
      <w:rFonts w:ascii="Times New Roman" w:hAnsi="Times New Roman" w:eastAsia="Times New Roman" w:cs="Times New Roman"/>
      <w:sz w:val="24"/>
      <w:szCs w:val="24"/>
      <w:lang w:val="vi-VN" w:eastAsia="en-US" w:bidi="ar-SA"/>
    </w:rPr>
  </w:style>
  <w:style w:type="character" w:customStyle="1" w:styleId="89">
    <w:name w:val="Normal (Web) Char"/>
    <w:link w:val="22"/>
    <w:qFormat/>
    <w:uiPriority w:val="99"/>
    <w:rPr>
      <w:rFonts w:ascii="Times New Roman" w:hAnsi="Times New Roman" w:cs="Times New Roman"/>
      <w:sz w:val="24"/>
      <w:szCs w:val="24"/>
      <w:lang w:val="vi-VN"/>
    </w:rPr>
  </w:style>
  <w:style w:type="paragraph" w:customStyle="1" w:styleId="90">
    <w:name w:val="p1"/>
    <w:basedOn w:val="1"/>
    <w:uiPriority w:val="0"/>
    <w:rPr>
      <w:color w:val="000000"/>
      <w:sz w:val="21"/>
      <w:szCs w:val="21"/>
    </w:rPr>
  </w:style>
  <w:style w:type="character" w:customStyle="1" w:styleId="91">
    <w:name w:val="Văn bản nội dung (2)_"/>
    <w:link w:val="92"/>
    <w:locked/>
    <w:uiPriority w:val="99"/>
    <w:rPr>
      <w:rFonts w:ascii="Times New Roman" w:hAnsi="Times New Roman" w:cs="Times New Roman"/>
      <w:sz w:val="106"/>
      <w:szCs w:val="106"/>
      <w:shd w:val="clear" w:color="auto" w:fill="FFFFFF"/>
    </w:rPr>
  </w:style>
  <w:style w:type="paragraph" w:customStyle="1" w:styleId="92">
    <w:name w:val="Văn bản nội dung (2)"/>
    <w:basedOn w:val="1"/>
    <w:link w:val="91"/>
    <w:uiPriority w:val="99"/>
    <w:pPr>
      <w:widowControl w:val="0"/>
      <w:shd w:val="clear" w:color="auto" w:fill="FFFFFF"/>
      <w:spacing w:before="2160" w:line="1520" w:lineRule="exact"/>
      <w:jc w:val="both"/>
    </w:pPr>
    <w:rPr>
      <w:sz w:val="106"/>
      <w:szCs w:val="106"/>
      <w:lang w:val="en-US"/>
    </w:rPr>
  </w:style>
  <w:style w:type="character" w:customStyle="1" w:styleId="93">
    <w:name w:val="relative"/>
    <w:basedOn w:val="8"/>
    <w:qFormat/>
    <w:uiPriority w:val="0"/>
  </w:style>
  <w:style w:type="paragraph" w:customStyle="1" w:styleId="94">
    <w:name w:val="not-prose"/>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5143A5-DF28-46EF-808D-EE4DC1ED0623}">
  <ds:schemaRefs/>
</ds:datastoreItem>
</file>

<file path=docProps/app.xml><?xml version="1.0" encoding="utf-8"?>
<Properties xmlns="http://schemas.openxmlformats.org/officeDocument/2006/extended-properties" xmlns:vt="http://schemas.openxmlformats.org/officeDocument/2006/docPropsVTypes">
  <Template>Normal</Template>
  <Pages>5</Pages>
  <Words>1872</Words>
  <Characters>7014</Characters>
  <Lines>63</Lines>
  <Paragraphs>17</Paragraphs>
  <TotalTime>938</TotalTime>
  <ScaleCrop>false</ScaleCrop>
  <LinksUpToDate>false</LinksUpToDate>
  <CharactersWithSpaces>8924</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2026-08-13T01:02:00Z</dcterms:created>
  <dc:creator>lvdung</dc:creator>
  <cp:lastModifiedBy>user</cp:lastModifiedBy>
  <cp:lastPrinted>2025-07-01T10:22:00Z</cp:lastPrinted>
  <dcterms:modified xsi:type="dcterms:W3CDTF">2026-10-19T07:57:26Z</dcterms:modified>
  <cp:revision>152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584A5D6E328C495C820EAFC6443139A2_13</vt:lpwstr>
  </property>
</Properties>
</file>