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8F239">
      <w:pPr>
        <w:rPr>
          <w:color w:val="000000" w:themeColor="text1"/>
          <w14:textFill>
            <w14:solidFill>
              <w14:schemeClr w14:val="tx1"/>
            </w14:solidFill>
          </w14:textFill>
        </w:rPr>
      </w:pPr>
      <w:bookmarkStart w:id="0" w:name="_GoBack"/>
      <w:bookmarkEnd w:id="0"/>
    </w:p>
    <w:tbl>
      <w:tblPr>
        <w:tblStyle w:val="19"/>
        <w:tblW w:w="92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19"/>
        <w:gridCol w:w="6095"/>
      </w:tblGrid>
      <w:tr w14:paraId="71DD6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Pr>
          <w:p w14:paraId="6A3EB22D">
            <w:pPr>
              <w:pStyle w:val="2"/>
              <w:jc w:val="center"/>
              <w:outlineLvl w:val="0"/>
              <w:rPr>
                <w:color w:val="000000" w:themeColor="text1"/>
                <w:szCs w:val="28"/>
                <w14:textFill>
                  <w14:solidFill>
                    <w14:schemeClr w14:val="tx1"/>
                  </w14:solidFill>
                </w14:textFill>
              </w:rPr>
            </w:pPr>
            <w:r>
              <w:rPr>
                <w:color w:val="000000" w:themeColor="text1"/>
                <w:szCs w:val="28"/>
                <w14:textFill>
                  <w14:solidFill>
                    <w14:schemeClr w14:val="tx1"/>
                  </w14:solidFill>
                </w14:textFill>
              </w:rPr>
              <w:t>ỦY BAN NHÂN DÂN</w:t>
            </w:r>
          </w:p>
          <w:p w14:paraId="02465034">
            <w:pPr>
              <w:jc w:val="center"/>
              <w:rPr>
                <w:color w:val="000000" w:themeColor="text1"/>
                <w14:textFill>
                  <w14:solidFill>
                    <w14:schemeClr w14:val="tx1"/>
                  </w14:solidFill>
                </w14:textFill>
              </w:rPr>
            </w:pPr>
            <w:r>
              <w:rPr>
                <w:b/>
                <w:color w:val="000000" w:themeColor="text1"/>
                <w:sz w:val="26"/>
                <w:szCs w:val="28"/>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711835</wp:posOffset>
                      </wp:positionH>
                      <wp:positionV relativeFrom="paragraph">
                        <wp:posOffset>230505</wp:posOffset>
                      </wp:positionV>
                      <wp:extent cx="593725" cy="0"/>
                      <wp:effectExtent l="0" t="0" r="0" b="0"/>
                      <wp:wrapNone/>
                      <wp:docPr id="10" name="Straight Connector 10"/>
                      <wp:cNvGraphicFramePr/>
                      <a:graphic xmlns:a="http://schemas.openxmlformats.org/drawingml/2006/main">
                        <a:graphicData uri="http://schemas.microsoft.com/office/word/2010/wordprocessingShape">
                          <wps:wsp>
                            <wps:cNvCnPr>
                              <a:cxnSpLocks noChangeShapeType="1"/>
                            </wps:cNvCnPr>
                            <wps:spPr bwMode="auto">
                              <a:xfrm>
                                <a:off x="0" y="0"/>
                                <a:ext cx="59372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56.05pt;margin-top:18.15pt;height:0pt;width:46.75pt;z-index:251660288;mso-width-relative:page;mso-height-relative:page;" filled="f" stroked="t" coordsize="21600,21600" o:gfxdata="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&#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GZrHo1QAAAAkBAAAPAAAAAAAAAAEAIAAAACIAAABk&#10;cnMvZG93bnJldi54bWxQSwECFAAUAAAACACHTuJARoyCjNABAACuAwAADgAAAAAAAAABACAAAAAk&#10;AQAAZHJzL2Uyb0RvYy54bWxQSwUGAAAAAAYABgBZAQAAZgUAAAAA&#10;">
                      <v:fill on="f" focussize="0,0"/>
                      <v:stroke color="#000000" joinstyle="round"/>
                      <v:imagedata o:title=""/>
                      <o:lock v:ext="edit" aspectratio="f"/>
                    </v:line>
                  </w:pict>
                </mc:Fallback>
              </mc:AlternateContent>
            </w:r>
            <w:r>
              <w:rPr>
                <w:b/>
                <w:color w:val="000000" w:themeColor="text1"/>
                <w:szCs w:val="28"/>
                <w14:textFill>
                  <w14:solidFill>
                    <w14:schemeClr w14:val="tx1"/>
                  </w14:solidFill>
                </w14:textFill>
              </w:rPr>
              <w:t>TỈNH HÀ TĨNH</w:t>
            </w:r>
          </w:p>
        </w:tc>
        <w:tc>
          <w:tcPr>
            <w:tcW w:w="6095" w:type="dxa"/>
          </w:tcPr>
          <w:p w14:paraId="5E7F9063">
            <w:pPr>
              <w:pStyle w:val="2"/>
              <w:jc w:val="center"/>
              <w:outlineLvl w:val="0"/>
              <w:rPr>
                <w:color w:val="000000" w:themeColor="text1"/>
                <w:szCs w:val="28"/>
                <w14:textFill>
                  <w14:solidFill>
                    <w14:schemeClr w14:val="tx1"/>
                  </w14:solidFill>
                </w14:textFill>
              </w:rPr>
            </w:pPr>
            <w:r>
              <w:rPr>
                <w:color w:val="000000" w:themeColor="text1"/>
                <w:szCs w:val="28"/>
                <w14:textFill>
                  <w14:solidFill>
                    <w14:schemeClr w14:val="tx1"/>
                  </w14:solidFill>
                </w14:textFill>
              </w:rPr>
              <w:t>CỘNG HÒA XÃ HỘI CHỦ NGHĨA VIỆT NAM</w:t>
            </w:r>
          </w:p>
          <w:p w14:paraId="5ED31A54">
            <w:pPr>
              <w:jc w:val="center"/>
              <w:rPr>
                <w:b/>
                <w:color w:val="000000" w:themeColor="text1"/>
                <w:szCs w:val="28"/>
                <w14:textFill>
                  <w14:solidFill>
                    <w14:schemeClr w14:val="tx1"/>
                  </w14:solidFill>
                </w14:textFill>
              </w:rPr>
            </w:pPr>
            <w:r>
              <w:rPr>
                <w:b/>
                <w:color w:val="000000" w:themeColor="text1"/>
                <w:szCs w:val="28"/>
                <w14:textFill>
                  <w14:solidFill>
                    <w14:schemeClr w14:val="tx1"/>
                  </w14:solidFill>
                </w14:textFill>
              </w:rPr>
              <w:t>Độc lập - Tự do - Hạnh phúc</w:t>
            </w:r>
          </w:p>
          <w:p w14:paraId="63A5FCBA">
            <w:pPr>
              <w:jc w:val="center"/>
              <w:rPr>
                <w:color w:val="000000" w:themeColor="text1"/>
                <w14:textFill>
                  <w14:solidFill>
                    <w14:schemeClr w14:val="tx1"/>
                  </w14:solidFill>
                </w14:textFill>
              </w:rPr>
            </w:pPr>
            <w:r>
              <w:rPr>
                <w:color w:val="000000" w:themeColor="text1"/>
                <w:sz w:val="20"/>
                <w:szCs w:val="28"/>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741045</wp:posOffset>
                      </wp:positionH>
                      <wp:positionV relativeFrom="paragraph">
                        <wp:posOffset>24765</wp:posOffset>
                      </wp:positionV>
                      <wp:extent cx="2221865" cy="0"/>
                      <wp:effectExtent l="0" t="0" r="0" b="0"/>
                      <wp:wrapNone/>
                      <wp:docPr id="9" name="Straight Connector 9"/>
                      <wp:cNvGraphicFramePr/>
                      <a:graphic xmlns:a="http://schemas.openxmlformats.org/drawingml/2006/main">
                        <a:graphicData uri="http://schemas.microsoft.com/office/word/2010/wordprocessingShape">
                          <wps:wsp>
                            <wps:cNvCnPr>
                              <a:cxnSpLocks noChangeShapeType="1"/>
                            </wps:cNvCnPr>
                            <wps:spPr bwMode="auto">
                              <a:xfrm>
                                <a:off x="0" y="0"/>
                                <a:ext cx="2221929"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58.35pt;margin-top:1.95pt;height:0pt;width:174.95pt;z-index:251661312;mso-width-relative:page;mso-height-relative:page;" filled="f" stroked="t" coordsize="21600,21600" o:gfxdata="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&#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JW1d7TAAAABwEAAA8AAAAAAAAAAQAgAAAAIgAAAGRy&#10;cy9kb3ducmV2LnhtbFBLAQIUABQAAAAIAIdO4kDzpB9N0QEAAK0DAAAOAAAAAAAAAAEAIAAAACIB&#10;AABkcnMvZTJvRG9jLnhtbFBLBQYAAAAABgAGAFkBAABlBQAAAAA=&#10;">
                      <v:fill on="f" focussize="0,0"/>
                      <v:stroke color="#000000" joinstyle="round"/>
                      <v:imagedata o:title=""/>
                      <o:lock v:ext="edit" aspectratio="f"/>
                    </v:line>
                  </w:pict>
                </mc:Fallback>
              </mc:AlternateContent>
            </w:r>
          </w:p>
        </w:tc>
      </w:tr>
      <w:tr w14:paraId="56DFB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Pr>
          <w:p w14:paraId="54E70ED6">
            <w:pPr>
              <w:pStyle w:val="2"/>
              <w:jc w:val="center"/>
              <w:outlineLvl w:val="0"/>
              <w:rPr>
                <w:b w:val="0"/>
                <w:color w:val="000000" w:themeColor="text1"/>
                <w14:textFill>
                  <w14:solidFill>
                    <w14:schemeClr w14:val="tx1"/>
                  </w14:solidFill>
                </w14:textFill>
              </w:rPr>
            </w:pPr>
            <w:r>
              <w:rPr>
                <w:b w:val="0"/>
                <w:color w:val="000000" w:themeColor="text1"/>
                <w:sz w:val="26"/>
                <w:szCs w:val="26"/>
                <w14:textFill>
                  <w14:solidFill>
                    <w14:schemeClr w14:val="tx1"/>
                  </w14:solidFill>
                </w14:textFill>
              </w:rPr>
              <w:t>Số:          /2026/QĐ-UBND</w:t>
            </w:r>
          </w:p>
        </w:tc>
        <w:tc>
          <w:tcPr>
            <w:tcW w:w="6095" w:type="dxa"/>
          </w:tcPr>
          <w:p w14:paraId="3F3106D4">
            <w:pPr>
              <w:pStyle w:val="2"/>
              <w:spacing w:after="40"/>
              <w:jc w:val="center"/>
              <w:outlineLvl w:val="0"/>
              <w:rPr>
                <w:b w:val="0"/>
                <w:color w:val="000000" w:themeColor="text1"/>
                <w14:textFill>
                  <w14:solidFill>
                    <w14:schemeClr w14:val="tx1"/>
                  </w14:solidFill>
                </w14:textFill>
              </w:rPr>
            </w:pPr>
            <w:r>
              <w:rPr>
                <w:b w:val="0"/>
                <w:i/>
                <w:color w:val="000000" w:themeColor="text1"/>
                <w14:textFill>
                  <w14:solidFill>
                    <w14:schemeClr w14:val="tx1"/>
                  </w14:solidFill>
                </w14:textFill>
              </w:rPr>
              <w:t>Hà Tĩnh, ngày      tháng      năm 2026</w:t>
            </w:r>
          </w:p>
        </w:tc>
      </w:tr>
    </w:tbl>
    <w:p w14:paraId="5FE5C035">
      <w:pPr>
        <w:pStyle w:val="2"/>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0F202366">
      <w:pPr>
        <w:jc w:val="both"/>
        <w:rPr>
          <w:b/>
          <w:color w:val="000000" w:themeColor="text1"/>
          <w:sz w:val="2"/>
          <w:szCs w:val="2"/>
          <w14:textFill>
            <w14:solidFill>
              <w14:schemeClr w14:val="tx1"/>
            </w14:solidFill>
          </w14:textFill>
        </w:rPr>
      </w:pPr>
      <w:r>
        <w:rPr>
          <w:b/>
          <w:color w:val="000000" w:themeColor="text1"/>
          <w:sz w:val="26"/>
          <w14:textFill>
            <w14:solidFill>
              <w14:schemeClr w14:val="tx1"/>
            </w14:solidFill>
          </w14:textFill>
        </w:rPr>
        <w:t xml:space="preserve">      </w:t>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color w:val="000000" w:themeColor="text1"/>
          <w14:textFill>
            <w14:solidFill>
              <w14:schemeClr w14:val="tx1"/>
            </w14:solidFill>
          </w14:textFill>
        </w:rPr>
        <w:t xml:space="preserve">   </w:t>
      </w:r>
    </w:p>
    <w:p w14:paraId="5EFACA9B">
      <w:pPr>
        <w:jc w:val="both"/>
        <w:rPr>
          <w:b/>
          <w:color w:val="000000" w:themeColor="text1"/>
          <w:sz w:val="26"/>
          <w:szCs w:val="26"/>
          <w14:textFill>
            <w14:solidFill>
              <w14:schemeClr w14:val="tx1"/>
            </w14:solidFill>
          </w14:textFill>
        </w:rPr>
      </w:pPr>
      <w:r>
        <w:rPr>
          <w:b/>
          <w:color w:val="000000" w:themeColor="text1"/>
          <w14:textFill>
            <w14:solidFill>
              <w14:schemeClr w14:val="tx1"/>
            </w14:solidFill>
          </w14:textFill>
        </w:rPr>
        <w:t xml:space="preserve">          </w:t>
      </w:r>
    </w:p>
    <w:p w14:paraId="563B923F">
      <w:pPr>
        <w:jc w:val="center"/>
        <w:rPr>
          <w:b/>
          <w:color w:val="000000" w:themeColor="text1"/>
          <w14:textFill>
            <w14:solidFill>
              <w14:schemeClr w14:val="tx1"/>
            </w14:solidFill>
          </w14:textFill>
        </w:rPr>
      </w:pPr>
      <w:r>
        <w:rPr>
          <w:b/>
          <w:color w:val="000000" w:themeColor="text1"/>
          <w14:textFill>
            <w14:solidFill>
              <w14:schemeClr w14:val="tx1"/>
            </w14:solidFill>
          </w14:textFill>
        </w:rPr>
        <w:t>QUYẾT ĐỊNH</w:t>
      </w:r>
    </w:p>
    <w:p w14:paraId="77BFB660">
      <w:pPr>
        <w:jc w:val="center"/>
        <w:rPr>
          <w:b/>
          <w:bCs/>
          <w:color w:val="000000" w:themeColor="text1"/>
          <w14:textFill>
            <w14:solidFill>
              <w14:schemeClr w14:val="tx1"/>
            </w14:solidFill>
          </w14:textFill>
        </w:rPr>
      </w:pPr>
      <w:r>
        <w:rPr>
          <w:b/>
          <w:bCs/>
          <w:color w:val="000000" w:themeColor="text1"/>
          <w14:textFill>
            <w14:solidFill>
              <w14:schemeClr w14:val="tx1"/>
            </w14:solidFill>
          </w14:textFill>
        </w:rPr>
        <w:t xml:space="preserve">Sửa đổi, bổ sung một số điều của </w:t>
      </w:r>
      <w:r>
        <w:rPr>
          <w:b/>
          <w:color w:val="000000" w:themeColor="text1"/>
          <w:szCs w:val="28"/>
          <w14:textFill>
            <w14:solidFill>
              <w14:schemeClr w14:val="tx1"/>
            </w14:solidFill>
          </w14:textFill>
        </w:rPr>
        <w:t>Quyết định số 88/2025/QĐ-UBND ngày 05/12/2025 của UBND tỉnh</w:t>
      </w:r>
      <w:r>
        <w:rPr>
          <w:b/>
          <w:bCs/>
          <w:color w:val="000000" w:themeColor="text1"/>
          <w14:textFill>
            <w14:solidFill>
              <w14:schemeClr w14:val="tx1"/>
            </w14:solidFill>
          </w14:textFill>
        </w:rPr>
        <w:t xml:space="preserve"> </w:t>
      </w:r>
      <w:r>
        <w:rPr>
          <w:b/>
          <w:color w:val="000000" w:themeColor="text1"/>
          <w:szCs w:val="28"/>
          <w14:textFill>
            <w14:solidFill>
              <w14:schemeClr w14:val="tx1"/>
            </w14:solidFill>
          </w14:textFill>
        </w:rPr>
        <w:t>quy định một số nội dung quản lý nhà nước về giá trên địa bàn tỉnh Hà Tĩnh</w:t>
      </w:r>
    </w:p>
    <w:p w14:paraId="10C48919">
      <w:pPr>
        <w:jc w:val="both"/>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2270125</wp:posOffset>
                </wp:positionH>
                <wp:positionV relativeFrom="paragraph">
                  <wp:posOffset>32385</wp:posOffset>
                </wp:positionV>
                <wp:extent cx="1187450" cy="0"/>
                <wp:effectExtent l="0" t="0" r="31750" b="19050"/>
                <wp:wrapNone/>
                <wp:docPr id="8" name="Straight Connector 8"/>
                <wp:cNvGraphicFramePr/>
                <a:graphic xmlns:a="http://schemas.openxmlformats.org/drawingml/2006/main">
                  <a:graphicData uri="http://schemas.microsoft.com/office/word/2010/wordprocessingShape">
                    <wps:wsp>
                      <wps:cNvCnPr>
                        <a:cxnSpLocks noChangeShapeType="1"/>
                      </wps:cNvCnPr>
                      <wps:spPr bwMode="auto">
                        <a:xfrm>
                          <a:off x="0" y="0"/>
                          <a:ext cx="118745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78.75pt;margin-top:2.55pt;height:0pt;width:93.5pt;z-index:251659264;mso-width-relative:page;mso-height-relative:page;" filled="f" stroked="t" coordsize="21600,21600" o:gfxdata="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eDYd9dQAAAAHAQAADwAAAAAAAAABACAAAAAiAAAA&#10;ZHJzL2Rvd25yZXYueG1sUEsBAhQAFAAAAAgAh07iQELMoTDSAQAArQMAAA4AAAAAAAAAAQAgAAAA&#10;IwEAAGRycy9lMm9Eb2MueG1sUEsFBgAAAAAGAAYAWQEAAGcFAAAAAA==&#10;">
                <v:fill on="f" focussize="0,0"/>
                <v:stroke color="#000000" joinstyle="round"/>
                <v:imagedata o:title=""/>
                <o:lock v:ext="edit" aspectratio="f"/>
              </v:line>
            </w:pict>
          </mc:Fallback>
        </mc:AlternateContent>
      </w:r>
    </w:p>
    <w:p w14:paraId="5ECC403F">
      <w:pPr>
        <w:spacing w:before="60" w:after="60" w:line="259" w:lineRule="auto"/>
        <w:ind w:firstLine="720"/>
        <w:jc w:val="both"/>
        <w:rPr>
          <w:i/>
          <w:color w:val="000000" w:themeColor="text1"/>
          <w:szCs w:val="28"/>
          <w:lang w:val="vi-VN"/>
          <w14:textFill>
            <w14:solidFill>
              <w14:schemeClr w14:val="tx1"/>
            </w14:solidFill>
          </w14:textFill>
        </w:rPr>
      </w:pPr>
      <w:r>
        <w:rPr>
          <w:i/>
          <w:color w:val="000000" w:themeColor="text1"/>
          <w:szCs w:val="28"/>
          <w:lang w:val="vi-VN"/>
          <w14:textFill>
            <w14:solidFill>
              <w14:schemeClr w14:val="tx1"/>
            </w14:solidFill>
          </w14:textFill>
        </w:rPr>
        <w:t xml:space="preserve">Căn cứ Luật Tổ chức chính quyền địa phương </w:t>
      </w:r>
      <w:r>
        <w:rPr>
          <w:i/>
          <w:color w:val="000000" w:themeColor="text1"/>
          <w:szCs w:val="28"/>
          <w14:textFill>
            <w14:solidFill>
              <w14:schemeClr w14:val="tx1"/>
            </w14:solidFill>
          </w14:textFill>
        </w:rPr>
        <w:t>số 72/2025/QH15</w:t>
      </w:r>
      <w:r>
        <w:rPr>
          <w:i/>
          <w:color w:val="000000" w:themeColor="text1"/>
          <w:szCs w:val="28"/>
          <w:lang w:val="vi-VN"/>
          <w14:textFill>
            <w14:solidFill>
              <w14:schemeClr w14:val="tx1"/>
            </w14:solidFill>
          </w14:textFill>
        </w:rPr>
        <w:t>;</w:t>
      </w:r>
    </w:p>
    <w:p w14:paraId="5CC9AB9E">
      <w:pPr>
        <w:spacing w:before="60" w:after="60" w:line="259" w:lineRule="auto"/>
        <w:ind w:firstLine="720"/>
        <w:jc w:val="both"/>
        <w:rPr>
          <w:i/>
          <w:color w:val="000000" w:themeColor="text1"/>
          <w:szCs w:val="28"/>
          <w:lang w:val="vi-VN"/>
          <w14:textFill>
            <w14:solidFill>
              <w14:schemeClr w14:val="tx1"/>
            </w14:solidFill>
          </w14:textFill>
        </w:rPr>
      </w:pPr>
      <w:r>
        <w:rPr>
          <w:i/>
          <w:color w:val="000000" w:themeColor="text1"/>
          <w:szCs w:val="28"/>
          <w:lang w:val="vi-VN"/>
          <w14:textFill>
            <w14:solidFill>
              <w14:schemeClr w14:val="tx1"/>
            </w14:solidFill>
          </w14:textFill>
        </w:rPr>
        <w:t xml:space="preserve">Căn cứ Luật Ban hành văn bản quy phạm pháp luật số 64/2025/QH15, được sửa đổi, bổ sung </w:t>
      </w:r>
      <w:r>
        <w:rPr>
          <w:i/>
          <w:color w:val="000000" w:themeColor="text1"/>
          <w:szCs w:val="28"/>
          <w14:textFill>
            <w14:solidFill>
              <w14:schemeClr w14:val="tx1"/>
            </w14:solidFill>
          </w14:textFill>
        </w:rPr>
        <w:t>bởi</w:t>
      </w:r>
      <w:r>
        <w:rPr>
          <w:i/>
          <w:color w:val="000000" w:themeColor="text1"/>
          <w:szCs w:val="28"/>
          <w:lang w:val="vi-VN"/>
          <w14:textFill>
            <w14:solidFill>
              <w14:schemeClr w14:val="tx1"/>
            </w14:solidFill>
          </w14:textFill>
        </w:rPr>
        <w:t xml:space="preserve"> Luật số 87/2025/QH15; </w:t>
      </w:r>
    </w:p>
    <w:p w14:paraId="156C7153">
      <w:pPr>
        <w:spacing w:before="60" w:after="60" w:line="259" w:lineRule="auto"/>
        <w:ind w:firstLine="720"/>
        <w:jc w:val="both"/>
        <w:rPr>
          <w:i/>
          <w:color w:val="000000" w:themeColor="text1"/>
          <w:spacing w:val="-2"/>
          <w:szCs w:val="28"/>
          <w:lang w:val="vi-VN"/>
          <w14:textFill>
            <w14:solidFill>
              <w14:schemeClr w14:val="tx1"/>
            </w14:solidFill>
          </w14:textFill>
        </w:rPr>
      </w:pPr>
      <w:r>
        <w:rPr>
          <w:i/>
          <w:color w:val="000000" w:themeColor="text1"/>
          <w:spacing w:val="-2"/>
          <w:szCs w:val="28"/>
          <w:lang w:val="vi-VN"/>
          <w14:textFill>
            <w14:solidFill>
              <w14:schemeClr w14:val="tx1"/>
            </w14:solidFill>
          </w14:textFill>
        </w:rPr>
        <w:t xml:space="preserve">Căn cứ </w:t>
      </w:r>
      <w:r>
        <w:rPr>
          <w:i/>
          <w:iCs/>
          <w:color w:val="000000" w:themeColor="text1"/>
          <w14:textFill>
            <w14:solidFill>
              <w14:schemeClr w14:val="tx1"/>
            </w14:solidFill>
          </w14:textFill>
        </w:rPr>
        <w:t>Luật</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Giá</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số</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16/2023/QH15</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được</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sửa</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đổi,</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bổ sung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bởi</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Luật</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số</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140/2025/QH15;</w:t>
      </w:r>
    </w:p>
    <w:p w14:paraId="69D6FEF6">
      <w:pPr>
        <w:spacing w:before="120" w:after="120"/>
        <w:ind w:firstLine="720"/>
        <w:jc w:val="both"/>
        <w:rPr>
          <w:color w:val="000000" w:themeColor="text1"/>
          <w:szCs w:val="28"/>
          <w14:textFill>
            <w14:solidFill>
              <w14:schemeClr w14:val="tx1"/>
            </w14:solidFill>
          </w14:textFill>
        </w:rPr>
      </w:pPr>
      <w:r>
        <w:rPr>
          <w:i/>
          <w:iCs/>
          <w:color w:val="000000" w:themeColor="text1"/>
          <w14:textFill>
            <w14:solidFill>
              <w14:schemeClr w14:val="tx1"/>
            </w14:solidFill>
          </w14:textFill>
        </w:rPr>
        <w:t>Căn</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cứ</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Nghị</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định</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số</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85/2024/NĐ-CP</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của</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Chính</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phủ</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quy</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định</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chi</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tiết</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một</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số</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điều</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của</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Luật</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Giá được</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sửa</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đổi,</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bổ sung</w:t>
      </w:r>
      <w:r>
        <w:rPr>
          <w:i/>
          <w:color w:val="000000" w:themeColor="text1"/>
          <w14:textFill>
            <w14:solidFill>
              <w14:schemeClr w14:val="tx1"/>
            </w14:solidFill>
          </w14:textFill>
        </w:rPr>
        <w:t xml:space="preserve"> </w:t>
      </w:r>
      <w:r>
        <w:rPr>
          <w:i/>
          <w:iCs/>
          <w:color w:val="000000" w:themeColor="text1"/>
          <w14:textFill>
            <w14:solidFill>
              <w14:schemeClr w14:val="tx1"/>
            </w14:solidFill>
          </w14:textFill>
        </w:rPr>
        <w:t>bởi:</w:t>
      </w:r>
      <w:r>
        <w:rPr>
          <w:i/>
          <w:color w:val="000000" w:themeColor="text1"/>
          <w14:textFill>
            <w14:solidFill>
              <w14:schemeClr w14:val="tx1"/>
            </w14:solidFill>
          </w14:textFill>
        </w:rPr>
        <w:t xml:space="preserve"> </w:t>
      </w:r>
      <w:r>
        <w:rPr>
          <w:i/>
          <w:iCs/>
          <w:color w:val="000000" w:themeColor="text1"/>
          <w:szCs w:val="28"/>
          <w:shd w:val="clear" w:color="auto" w:fill="FFFFFF"/>
          <w14:textFill>
            <w14:solidFill>
              <w14:schemeClr w14:val="tx1"/>
            </w14:solidFill>
          </w14:textFill>
        </w:rPr>
        <w:t xml:space="preserve">Nghị định số 128/2026/NĐ-CP ngày 06/4/2026, </w:t>
      </w:r>
      <w:r>
        <w:rPr>
          <w:i/>
          <w:color w:val="000000" w:themeColor="text1"/>
          <w:szCs w:val="28"/>
          <w14:textFill>
            <w14:solidFill>
              <w14:schemeClr w14:val="tx1"/>
            </w14:solidFill>
          </w14:textFill>
        </w:rPr>
        <w:t>Nghị định 16/2026/NĐ-CP, Nghị định 148/2025/NĐ-CP.</w:t>
      </w:r>
    </w:p>
    <w:p w14:paraId="4A4FCB77">
      <w:pPr>
        <w:spacing w:before="60" w:after="60" w:line="259" w:lineRule="auto"/>
        <w:ind w:firstLine="720"/>
        <w:jc w:val="both"/>
        <w:rPr>
          <w:i/>
          <w:color w:val="000000" w:themeColor="text1"/>
          <w:spacing w:val="-2"/>
          <w:szCs w:val="28"/>
          <w:lang w:val="vi-VN"/>
          <w14:textFill>
            <w14:solidFill>
              <w14:schemeClr w14:val="tx1"/>
            </w14:solidFill>
          </w14:textFill>
        </w:rPr>
      </w:pPr>
      <w:r>
        <w:rPr>
          <w:i/>
          <w:iCs/>
          <w:color w:val="000000" w:themeColor="text1"/>
          <w14:textFill>
            <w14:solidFill>
              <w14:schemeClr w14:val="tx1"/>
            </w14:solidFill>
          </w14:textFill>
        </w:rPr>
        <w:t>Căn</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cứ</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Thông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tư</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số</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29/2024/TT-BTC</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của</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Bộ</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Tài</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chính</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quy</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định</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ban</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hành</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Thông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tư</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quy</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định</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về</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công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tác</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tổng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hợp,</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phân</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tích,</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dự</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báo</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giá</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thị</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trường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và</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kinh</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phí</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bảo</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đảm</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cho</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công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tác</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tổng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hợp,</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phân</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tích,</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dự</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báo</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giá</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thị</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trường được</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sửa</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đổi,</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bổ</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sung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bởi</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Thông</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tư</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số</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44/2025/TT-BTC;</w:t>
      </w:r>
    </w:p>
    <w:p w14:paraId="76B9A398">
      <w:pPr>
        <w:spacing w:before="60" w:after="60" w:line="259" w:lineRule="auto"/>
        <w:ind w:firstLine="720"/>
        <w:jc w:val="both"/>
        <w:rPr>
          <w:i/>
          <w:color w:val="000000" w:themeColor="text1"/>
          <w:spacing w:val="-2"/>
          <w:szCs w:val="28"/>
          <w:lang w:val="vi-VN"/>
          <w14:textFill>
            <w14:solidFill>
              <w14:schemeClr w14:val="tx1"/>
            </w14:solidFill>
          </w14:textFill>
        </w:rPr>
      </w:pPr>
      <w:r>
        <w:rPr>
          <w:i/>
          <w:color w:val="000000" w:themeColor="text1"/>
          <w:szCs w:val="28"/>
          <w:lang w:val="vi-VN"/>
          <w14:textFill>
            <w14:solidFill>
              <w14:schemeClr w14:val="tx1"/>
            </w14:solidFill>
          </w14:textFill>
        </w:rPr>
        <w:t xml:space="preserve">Theo đề nghị của </w:t>
      </w:r>
      <w:r>
        <w:rPr>
          <w:i/>
          <w:iCs/>
          <w:color w:val="000000" w:themeColor="text1"/>
          <w14:textFill>
            <w14:solidFill>
              <w14:schemeClr w14:val="tx1"/>
            </w14:solidFill>
          </w14:textFill>
        </w:rPr>
        <w:t>Giám</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đốc</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Sở</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Tài</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chính</w:t>
      </w:r>
      <w:r>
        <w:rPr>
          <w:i/>
          <w:color w:val="000000" w:themeColor="text1"/>
          <w:szCs w:val="28"/>
          <w:lang w:val="vi-VN"/>
          <w14:textFill>
            <w14:solidFill>
              <w14:schemeClr w14:val="tx1"/>
            </w14:solidFill>
          </w14:textFill>
        </w:rPr>
        <w:t xml:space="preserve"> tại </w:t>
      </w:r>
      <w:r>
        <w:rPr>
          <w:i/>
          <w:color w:val="000000" w:themeColor="text1"/>
          <w:szCs w:val="28"/>
          <w14:textFill>
            <w14:solidFill>
              <w14:schemeClr w14:val="tx1"/>
            </w14:solidFill>
          </w14:textFill>
        </w:rPr>
        <w:t>Tờ trình</w:t>
      </w:r>
      <w:r>
        <w:rPr>
          <w:i/>
          <w:color w:val="000000" w:themeColor="text1"/>
          <w:szCs w:val="28"/>
          <w:lang w:val="vi-VN"/>
          <w14:textFill>
            <w14:solidFill>
              <w14:schemeClr w14:val="tx1"/>
            </w14:solidFill>
          </w14:textFill>
        </w:rPr>
        <w:t xml:space="preserve"> số</w:t>
      </w:r>
      <w:r>
        <w:rPr>
          <w:i/>
          <w:color w:val="000000" w:themeColor="text1"/>
          <w:szCs w:val="28"/>
          <w14:textFill>
            <w14:solidFill>
              <w14:schemeClr w14:val="tx1"/>
            </w14:solidFill>
          </w14:textFill>
        </w:rPr>
        <w:t xml:space="preserve"> </w:t>
      </w:r>
      <w:r>
        <w:rPr>
          <w:i/>
          <w:color w:val="000000" w:themeColor="text1"/>
          <w:szCs w:val="28"/>
          <w:lang w:val="vi-VN"/>
          <w14:textFill>
            <w14:solidFill>
              <w14:schemeClr w14:val="tx1"/>
            </w14:solidFill>
          </w14:textFill>
        </w:rPr>
        <w:t>/</w:t>
      </w:r>
      <w:r>
        <w:rPr>
          <w:i/>
          <w:color w:val="000000" w:themeColor="text1"/>
          <w:szCs w:val="28"/>
          <w14:textFill>
            <w14:solidFill>
              <w14:schemeClr w14:val="tx1"/>
            </w14:solidFill>
          </w14:textFill>
        </w:rPr>
        <w:t xml:space="preserve">TTr-STC </w:t>
      </w:r>
      <w:r>
        <w:rPr>
          <w:i/>
          <w:color w:val="000000" w:themeColor="text1"/>
          <w:szCs w:val="28"/>
          <w:lang w:val="vi-VN"/>
          <w14:textFill>
            <w14:solidFill>
              <w14:schemeClr w14:val="tx1"/>
            </w14:solidFill>
          </w14:textFill>
        </w:rPr>
        <w:t xml:space="preserve"> ngày </w:t>
      </w:r>
      <w:r>
        <w:rPr>
          <w:i/>
          <w:color w:val="000000" w:themeColor="text1"/>
          <w:szCs w:val="28"/>
          <w14:textFill>
            <w14:solidFill>
              <w14:schemeClr w14:val="tx1"/>
            </w14:solidFill>
          </w14:textFill>
        </w:rPr>
        <w:t xml:space="preserve">  </w:t>
      </w:r>
      <w:r>
        <w:rPr>
          <w:i/>
          <w:color w:val="000000" w:themeColor="text1"/>
          <w:szCs w:val="28"/>
          <w:lang w:val="vi-VN"/>
          <w14:textFill>
            <w14:solidFill>
              <w14:schemeClr w14:val="tx1"/>
            </w14:solidFill>
          </w14:textFill>
        </w:rPr>
        <w:t>/</w:t>
      </w:r>
      <w:r>
        <w:rPr>
          <w:i/>
          <w:color w:val="000000" w:themeColor="text1"/>
          <w:szCs w:val="28"/>
          <w14:textFill>
            <w14:solidFill>
              <w14:schemeClr w14:val="tx1"/>
            </w14:solidFill>
          </w14:textFill>
        </w:rPr>
        <w:t xml:space="preserve">   </w:t>
      </w:r>
      <w:r>
        <w:rPr>
          <w:i/>
          <w:color w:val="000000" w:themeColor="text1"/>
          <w:szCs w:val="28"/>
          <w:lang w:val="vi-VN"/>
          <w14:textFill>
            <w14:solidFill>
              <w14:schemeClr w14:val="tx1"/>
            </w14:solidFill>
          </w14:textFill>
        </w:rPr>
        <w:t>/2026</w:t>
      </w:r>
      <w:r>
        <w:rPr>
          <w:bCs/>
          <w:i/>
          <w:color w:val="000000" w:themeColor="text1"/>
          <w:szCs w:val="28"/>
          <w:lang w:val="vi-VN"/>
          <w14:textFill>
            <w14:solidFill>
              <w14:schemeClr w14:val="tx1"/>
            </w14:solidFill>
          </w14:textFill>
        </w:rPr>
        <w:t xml:space="preserve"> kèm</w:t>
      </w:r>
      <w:r>
        <w:rPr>
          <w:i/>
          <w:color w:val="000000" w:themeColor="text1"/>
          <w:szCs w:val="28"/>
          <w:lang w:val="vi-VN"/>
          <w14:textFill>
            <w14:solidFill>
              <w14:schemeClr w14:val="tx1"/>
            </w14:solidFill>
          </w14:textFill>
        </w:rPr>
        <w:t xml:space="preserve"> Báo cáo thẩm định số </w:t>
      </w:r>
      <w:r>
        <w:rPr>
          <w:i/>
          <w:color w:val="000000" w:themeColor="text1"/>
          <w:szCs w:val="28"/>
          <w14:textFill>
            <w14:solidFill>
              <w14:schemeClr w14:val="tx1"/>
            </w14:solidFill>
          </w14:textFill>
        </w:rPr>
        <w:t xml:space="preserve">      </w:t>
      </w:r>
      <w:r>
        <w:rPr>
          <w:i/>
          <w:color w:val="000000" w:themeColor="text1"/>
          <w:szCs w:val="28"/>
          <w:lang w:val="vi-VN"/>
          <w14:textFill>
            <w14:solidFill>
              <w14:schemeClr w14:val="tx1"/>
            </w14:solidFill>
          </w14:textFill>
        </w:rPr>
        <w:t xml:space="preserve">/BC-STP ngày </w:t>
      </w:r>
      <w:r>
        <w:rPr>
          <w:i/>
          <w:color w:val="000000" w:themeColor="text1"/>
          <w:szCs w:val="28"/>
          <w14:textFill>
            <w14:solidFill>
              <w14:schemeClr w14:val="tx1"/>
            </w14:solidFill>
          </w14:textFill>
        </w:rPr>
        <w:t xml:space="preserve">    </w:t>
      </w:r>
      <w:r>
        <w:rPr>
          <w:i/>
          <w:color w:val="000000" w:themeColor="text1"/>
          <w:szCs w:val="28"/>
          <w:lang w:val="vi-VN"/>
          <w14:textFill>
            <w14:solidFill>
              <w14:schemeClr w14:val="tx1"/>
            </w14:solidFill>
          </w14:textFill>
        </w:rPr>
        <w:t>/</w:t>
      </w:r>
      <w:r>
        <w:rPr>
          <w:i/>
          <w:color w:val="000000" w:themeColor="text1"/>
          <w:szCs w:val="28"/>
          <w14:textFill>
            <w14:solidFill>
              <w14:schemeClr w14:val="tx1"/>
            </w14:solidFill>
          </w14:textFill>
        </w:rPr>
        <w:t xml:space="preserve">    </w:t>
      </w:r>
      <w:r>
        <w:rPr>
          <w:i/>
          <w:color w:val="000000" w:themeColor="text1"/>
          <w:szCs w:val="28"/>
          <w:lang w:val="vi-VN"/>
          <w14:textFill>
            <w14:solidFill>
              <w14:schemeClr w14:val="tx1"/>
            </w14:solidFill>
          </w14:textFill>
        </w:rPr>
        <w:t>/2026 của Sở Tư pháp</w:t>
      </w:r>
      <w:r>
        <w:rPr>
          <w:i/>
          <w:color w:val="000000" w:themeColor="text1"/>
          <w:szCs w:val="28"/>
          <w14:textFill>
            <w14:solidFill>
              <w14:schemeClr w14:val="tx1"/>
            </w14:solidFill>
          </w14:textFill>
        </w:rPr>
        <w:t>; ý kiến thống nhất của Thành viên UBND tỉnh</w:t>
      </w:r>
      <w:r>
        <w:rPr>
          <w:i/>
          <w:color w:val="000000" w:themeColor="text1"/>
          <w:szCs w:val="28"/>
          <w:lang w:val="vi-VN"/>
          <w14:textFill>
            <w14:solidFill>
              <w14:schemeClr w14:val="tx1"/>
            </w14:solidFill>
          </w14:textFill>
        </w:rPr>
        <w:t>;</w:t>
      </w:r>
    </w:p>
    <w:p w14:paraId="79C0B989">
      <w:pPr>
        <w:spacing w:before="60" w:after="60" w:line="259" w:lineRule="auto"/>
        <w:ind w:firstLine="720"/>
        <w:jc w:val="both"/>
        <w:rPr>
          <w:i/>
          <w:color w:val="000000" w:themeColor="text1"/>
          <w:spacing w:val="-2"/>
          <w:szCs w:val="28"/>
          <w:lang w:val="vi-VN"/>
          <w14:textFill>
            <w14:solidFill>
              <w14:schemeClr w14:val="tx1"/>
            </w14:solidFill>
          </w14:textFill>
        </w:rPr>
      </w:pPr>
      <w:r>
        <w:rPr>
          <w:i/>
          <w:color w:val="000000" w:themeColor="text1"/>
          <w:szCs w:val="28"/>
          <w:lang w:val="vi-VN"/>
          <w14:textFill>
            <w14:solidFill>
              <w14:schemeClr w14:val="tx1"/>
            </w14:solidFill>
          </w14:textFill>
        </w:rPr>
        <w:t xml:space="preserve">Ủy ban nhân dân ban hành Quyết định </w:t>
      </w:r>
      <w:r>
        <w:rPr>
          <w:bCs/>
          <w:i/>
          <w:color w:val="000000" w:themeColor="text1"/>
          <w14:textFill>
            <w14:solidFill>
              <w14:schemeClr w14:val="tx1"/>
            </w14:solidFill>
          </w14:textFill>
        </w:rPr>
        <w:t xml:space="preserve">sửa đổi, bổ sung một số điều của </w:t>
      </w:r>
      <w:r>
        <w:rPr>
          <w:i/>
          <w:color w:val="000000" w:themeColor="text1"/>
          <w:szCs w:val="28"/>
          <w14:textFill>
            <w14:solidFill>
              <w14:schemeClr w14:val="tx1"/>
            </w14:solidFill>
          </w14:textFill>
        </w:rPr>
        <w:t>Quyết định số 88/2025/QĐ-UBND ngày 05/12/2025 của UBND tỉnh</w:t>
      </w:r>
      <w:r>
        <w:rPr>
          <w:bCs/>
          <w:i/>
          <w:color w:val="000000" w:themeColor="text1"/>
          <w14:textFill>
            <w14:solidFill>
              <w14:schemeClr w14:val="tx1"/>
            </w14:solidFill>
          </w14:textFill>
        </w:rPr>
        <w:t xml:space="preserve"> </w:t>
      </w:r>
      <w:r>
        <w:rPr>
          <w:i/>
          <w:color w:val="000000" w:themeColor="text1"/>
          <w:szCs w:val="28"/>
          <w14:textFill>
            <w14:solidFill>
              <w14:schemeClr w14:val="tx1"/>
            </w14:solidFill>
          </w14:textFill>
        </w:rPr>
        <w:t>quy định một số nội dung quản lý nhà nước về giá trên địa bàn tỉnh Hà Tĩnh</w:t>
      </w:r>
      <w:r>
        <w:rPr>
          <w:bCs/>
          <w:i/>
          <w:color w:val="000000" w:themeColor="text1"/>
          <w:szCs w:val="28"/>
          <w:lang w:val="vi-VN"/>
          <w14:textFill>
            <w14:solidFill>
              <w14:schemeClr w14:val="tx1"/>
            </w14:solidFill>
          </w14:textFill>
        </w:rPr>
        <w:t>.</w:t>
      </w:r>
    </w:p>
    <w:p w14:paraId="719AB720">
      <w:pPr>
        <w:spacing w:before="120" w:after="120"/>
        <w:ind w:firstLine="720"/>
        <w:jc w:val="both"/>
        <w:rPr>
          <w:b/>
          <w:bCs/>
          <w:color w:val="000000" w:themeColor="text1"/>
          <w:szCs w:val="28"/>
          <w:lang w:val="vi-VN"/>
          <w14:textFill>
            <w14:solidFill>
              <w14:schemeClr w14:val="tx1"/>
            </w14:solidFill>
          </w14:textFill>
        </w:rPr>
      </w:pPr>
      <w:r>
        <w:rPr>
          <w:b/>
          <w:color w:val="000000" w:themeColor="text1"/>
          <w:szCs w:val="28"/>
          <w:lang w:val="vi-VN"/>
          <w14:textFill>
            <w14:solidFill>
              <w14:schemeClr w14:val="tx1"/>
            </w14:solidFill>
          </w14:textFill>
        </w:rPr>
        <w:t xml:space="preserve">Điều 1. </w:t>
      </w:r>
      <w:r>
        <w:rPr>
          <w:b/>
          <w:bCs/>
          <w:color w:val="000000" w:themeColor="text1"/>
          <w:szCs w:val="28"/>
          <w14:textFill>
            <w14:solidFill>
              <w14:schemeClr w14:val="tx1"/>
            </w14:solidFill>
          </w14:textFill>
        </w:rPr>
        <w:t xml:space="preserve">Sửa đổi, bổ sung một số điều của </w:t>
      </w:r>
      <w:r>
        <w:rPr>
          <w:b/>
          <w:color w:val="000000" w:themeColor="text1"/>
          <w:szCs w:val="28"/>
          <w14:textFill>
            <w14:solidFill>
              <w14:schemeClr w14:val="tx1"/>
            </w14:solidFill>
          </w14:textFill>
        </w:rPr>
        <w:t>Quyết định số 88/2025/QĐ-UBND ngày 05/12/2025 của UBND tỉnh</w:t>
      </w:r>
      <w:r>
        <w:rPr>
          <w:b/>
          <w:bCs/>
          <w:color w:val="000000" w:themeColor="text1"/>
          <w:szCs w:val="28"/>
          <w14:textFill>
            <w14:solidFill>
              <w14:schemeClr w14:val="tx1"/>
            </w14:solidFill>
          </w14:textFill>
        </w:rPr>
        <w:t xml:space="preserve"> </w:t>
      </w:r>
      <w:r>
        <w:rPr>
          <w:b/>
          <w:color w:val="000000" w:themeColor="text1"/>
          <w:szCs w:val="28"/>
          <w14:textFill>
            <w14:solidFill>
              <w14:schemeClr w14:val="tx1"/>
            </w14:solidFill>
          </w14:textFill>
        </w:rPr>
        <w:t>quy định một số nội dung quản lý nhà nước về giá trên địa bàn tỉnh Hà Tĩnh</w:t>
      </w:r>
    </w:p>
    <w:p w14:paraId="5770384A">
      <w:pPr>
        <w:spacing w:before="120" w:after="120"/>
        <w:ind w:firstLine="720"/>
        <w:jc w:val="both"/>
        <w:rPr>
          <w:bCs/>
          <w:color w:val="000000" w:themeColor="text1"/>
          <w:szCs w:val="28"/>
          <w:lang w:val="vi-VN"/>
          <w14:textFill>
            <w14:solidFill>
              <w14:schemeClr w14:val="tx1"/>
            </w14:solidFill>
          </w14:textFill>
        </w:rPr>
      </w:pPr>
      <w:r>
        <w:rPr>
          <w:bCs/>
          <w:color w:val="000000" w:themeColor="text1"/>
          <w:szCs w:val="28"/>
          <w:lang w:val="vi-VN"/>
          <w14:textFill>
            <w14:solidFill>
              <w14:schemeClr w14:val="tx1"/>
            </w14:solidFill>
          </w14:textFill>
        </w:rPr>
        <w:t>1. Sửa đổi, bổ sung Điều 4 Quy định ban hành kèm theo như sau:</w:t>
      </w:r>
    </w:p>
    <w:p w14:paraId="033E611E">
      <w:pPr>
        <w:spacing w:before="120" w:after="120"/>
        <w:ind w:firstLine="720"/>
        <w:jc w:val="both"/>
        <w:rPr>
          <w:color w:val="000000" w:themeColor="text1"/>
          <w:szCs w:val="28"/>
          <w14:textFill>
            <w14:solidFill>
              <w14:schemeClr w14:val="tx1"/>
            </w14:solidFill>
          </w14:textFill>
        </w:rPr>
      </w:pPr>
      <w:r>
        <w:rPr>
          <w:b/>
          <w:bCs/>
          <w:iCs/>
          <w:color w:val="000000" w:themeColor="text1"/>
          <w:szCs w:val="28"/>
          <w14:textFill>
            <w14:solidFill>
              <w14:schemeClr w14:val="tx1"/>
            </w14:solidFill>
          </w14:textFill>
        </w:rPr>
        <w:t>“Điều 4. Phân công tổ chức thực hiện định giá</w:t>
      </w:r>
    </w:p>
    <w:p w14:paraId="0B207107">
      <w:pPr>
        <w:spacing w:before="120" w:after="120"/>
        <w:ind w:firstLine="720"/>
        <w:jc w:val="both"/>
        <w:rPr>
          <w:iCs/>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1. Danh mục hàng hóa, dịch vụ thuộc thẩm quyền định giá của Ủy ban nhân dân tỉnh thực hiện theo quy định tại khoản 4 Điều 21 </w:t>
      </w:r>
      <w:r>
        <w:rPr>
          <w:iCs/>
          <w:color w:val="000000" w:themeColor="text1"/>
          <w:szCs w:val="28"/>
          <w14:textFill>
            <w14:solidFill>
              <w14:schemeClr w14:val="tx1"/>
            </w14:solidFill>
          </w14:textFill>
        </w:rPr>
        <w:t>và Phụ lục 02 kèm theo</w:t>
      </w:r>
      <w:r>
        <w:rPr>
          <w:color w:val="000000" w:themeColor="text1"/>
          <w:szCs w:val="28"/>
          <w14:textFill>
            <w14:solidFill>
              <w14:schemeClr w14:val="tx1"/>
            </w14:solidFill>
          </w14:textFill>
        </w:rPr>
        <w:t xml:space="preserve"> Luật Giá </w:t>
      </w:r>
      <w:r>
        <w:rPr>
          <w:iCs/>
          <w:color w:val="000000" w:themeColor="text1"/>
          <w:szCs w:val="28"/>
          <w14:textFill>
            <w14:solidFill>
              <w14:schemeClr w14:val="tx1"/>
            </w14:solidFill>
          </w14:textFill>
        </w:rPr>
        <w:t>số</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16/2023/QH15</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được</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sửa</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đổi,</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bổ sung</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bởi</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Luật</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số</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140/2025/QH15.</w:t>
      </w:r>
    </w:p>
    <w:p w14:paraId="66D7F407">
      <w:pPr>
        <w:spacing w:before="120" w:after="120"/>
        <w:ind w:firstLine="720"/>
        <w:jc w:val="both"/>
        <w:rPr>
          <w:iCs/>
          <w:color w:val="000000" w:themeColor="text1"/>
          <w:szCs w:val="28"/>
          <w14:textFill>
            <w14:solidFill>
              <w14:schemeClr w14:val="tx1"/>
            </w14:solidFill>
          </w14:textFill>
        </w:rPr>
      </w:pPr>
      <w:r>
        <w:rPr>
          <w:iCs/>
          <w:color w:val="000000" w:themeColor="text1"/>
          <w:szCs w:val="28"/>
          <w14:textFill>
            <w14:solidFill>
              <w14:schemeClr w14:val="tx1"/>
            </w14:solidFill>
          </w14:textFill>
        </w:rPr>
        <w:t>Đối với 07 hàng hóa, dịch vụ được giao Ủy ban nhân dân tỉnh định giá cụ thể hoặc phân cấp định giá cụ thể:</w:t>
      </w:r>
    </w:p>
    <w:p w14:paraId="73643FC5">
      <w:pPr>
        <w:spacing w:before="120" w:after="120"/>
        <w:ind w:firstLine="720"/>
        <w:jc w:val="both"/>
        <w:rPr>
          <w:i/>
          <w:iCs/>
          <w:color w:val="000000" w:themeColor="text1"/>
          <w:szCs w:val="28"/>
          <w14:textFill>
            <w14:solidFill>
              <w14:schemeClr w14:val="tx1"/>
            </w14:solidFill>
          </w14:textFill>
        </w:rPr>
      </w:pPr>
      <w:r>
        <w:rPr>
          <w:iCs/>
          <w:color w:val="000000" w:themeColor="text1"/>
          <w:szCs w:val="28"/>
          <w14:textFill>
            <w14:solidFill>
              <w14:schemeClr w14:val="tx1"/>
            </w14:solidFill>
          </w14:textFill>
        </w:rPr>
        <w:t xml:space="preserve">- </w:t>
      </w:r>
      <w:r>
        <w:rPr>
          <w:color w:val="000000" w:themeColor="text1"/>
          <w:szCs w:val="28"/>
          <w14:textFill>
            <w14:solidFill>
              <w14:schemeClr w14:val="tx1"/>
            </w14:solidFill>
          </w14:textFill>
        </w:rPr>
        <w:t>Ủy ban nhân dân tỉnh định giá cụ thể đối với 06 hàng hóa, dịch vụ: Dịch vụ kiểm dịch y tế, y tế dự phòng tại cơ sở y tế công lập; Dịch vụ điều trị nghiện chất dạng thuốc phiện tại các đơn vị sự nghiệp công lập; Máu toàn phần và chế phẩm máu đạt tiêu chuẩn; Dịch vụ kiểm nghiệm mẫu thuốc, nguyên liệu làm thuốc tại đơn vị sự nghiệp công lập (không bao gồm dịch vụ công không sử dụng ngân sách nhà nước, dịch vụ theo yêu cầu); Dịch vụ thu gom, vận chuyển, xử lý chất thải rắn sinh hoạt và dịch vụ vệ sinh công cộng áp dụng đối với cơ quan, tổ chức, cơ sở sản xuất, kinh doanh, dịch vụ, khu sản xuất, kinh doanh, dịch vụ tập trung, cụm công nghiệp, hộ gia đình, cá nhân sử dụng dịch vụ thu gom, vận chuyển và xử lý chất thải rắn sinh hoạt; Dịch vụ sử dụng diện tích bán hàng tại chợ được đầu tư từ nguồn vốn nhà nước là tài sản kết cấu hạ tầng do cấp tỉnh quản lý.</w:t>
      </w:r>
    </w:p>
    <w:p w14:paraId="3E2D5E65">
      <w:pPr>
        <w:spacing w:before="120" w:after="120"/>
        <w:ind w:firstLine="720"/>
        <w:jc w:val="both"/>
        <w:rPr>
          <w:i/>
          <w:iCs/>
          <w:color w:val="000000" w:themeColor="text1"/>
          <w:szCs w:val="28"/>
          <w14:textFill>
            <w14:solidFill>
              <w14:schemeClr w14:val="tx1"/>
            </w14:solidFill>
          </w14:textFill>
        </w:rPr>
      </w:pPr>
      <w:r>
        <w:rPr>
          <w:iCs/>
          <w:color w:val="000000" w:themeColor="text1"/>
          <w:szCs w:val="28"/>
          <w14:textFill>
            <w14:solidFill>
              <w14:schemeClr w14:val="tx1"/>
            </w14:solidFill>
          </w14:textFill>
        </w:rPr>
        <w:t xml:space="preserve">-  </w:t>
      </w:r>
      <w:r>
        <w:rPr>
          <w:color w:val="000000" w:themeColor="text1"/>
          <w:szCs w:val="28"/>
          <w14:textFill>
            <w14:solidFill>
              <w14:schemeClr w14:val="tx1"/>
            </w14:solidFill>
          </w14:textFill>
        </w:rPr>
        <w:t>Ủy ban nhân dân tỉnh phân cấp cho Ủy ban nhân dân cấp xã định giá cụ thể đối với 01 dịch vụ: Dịch vụ sử dụng diện tích bán hàng tại chợ được đầu tư từ nguồn vốn nhà nước là tài sản kết cấu hạ tầng do cấp xã quản lý.</w:t>
      </w:r>
    </w:p>
    <w:p w14:paraId="6584054A">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2. Phân công sở quản lý ngành, lĩnh vực về hàng hóa, dịch vụ, Ủy ban nhân dân cấp xã theo địa bàn quản lý thực hiện thẩm định phương án giá, tham mưu ban hành quy định đặc điểm kinh tế - kỹ thuật của hàng hóa, dịch vụ thuộc Danh mục hàng hóa, dịch vụ do Nhà nước định giá được quy định tại Phụ lục I kèm theo Quyết định này. </w:t>
      </w:r>
    </w:p>
    <w:p w14:paraId="229BF5D4">
      <w:pPr>
        <w:spacing w:before="120" w:after="120"/>
        <w:ind w:firstLine="720"/>
        <w:jc w:val="both"/>
        <w:rPr>
          <w:color w:val="000000" w:themeColor="text1"/>
          <w:szCs w:val="28"/>
          <w14:textFill>
            <w14:solidFill>
              <w14:schemeClr w14:val="tx1"/>
            </w14:solidFill>
          </w14:textFill>
        </w:rPr>
      </w:pPr>
      <w:r>
        <w:rPr>
          <w:color w:val="000000" w:themeColor="text1"/>
          <w:szCs w:val="28"/>
          <w:shd w:val="clear" w:color="auto" w:fill="FFFFFF"/>
          <w14:textFill>
            <w14:solidFill>
              <w14:schemeClr w14:val="tx1"/>
            </w14:solidFill>
          </w14:textFill>
        </w:rPr>
        <w:t xml:space="preserve">Đối với hàng hoá, dịch vụ được UBND tỉnh phân cấp định giá: Cơ quan, đơn vị được phân cấp định giá phân công cơ quan, đơn vị chuyên môn trực thuộc thực hiện việc thẩm định phương án giá theo quy định </w:t>
      </w:r>
      <w:r>
        <w:rPr>
          <w:color w:val="000000" w:themeColor="text1"/>
          <w:szCs w:val="28"/>
          <w14:textFill>
            <w14:solidFill>
              <w14:schemeClr w14:val="tx1"/>
            </w14:solidFill>
          </w14:textFill>
        </w:rPr>
        <w:t>tại điểm c khoản 2 Điều 10 Nghị định số 85/2024/NĐ-CP (được bổ sung bởi khoản 2 Điều 2 Nghị định số 128/2026/NĐ-CP).</w:t>
      </w:r>
    </w:p>
    <w:p w14:paraId="769CC4B3">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Sở quản lý ngành, lĩnh vực về hàng hóa, dịch vụ, Ủy ban nhân dân cấp xã (đối với trường hợp thuộc thẩm quyền định giá của Ủy ban nhân dân tỉnh); </w:t>
      </w:r>
      <w:r>
        <w:rPr>
          <w:color w:val="000000" w:themeColor="text1"/>
          <w:szCs w:val="28"/>
          <w:shd w:val="clear" w:color="auto" w:fill="FFFFFF"/>
          <w14:textFill>
            <w14:solidFill>
              <w14:schemeClr w14:val="tx1"/>
            </w14:solidFill>
          </w14:textFill>
        </w:rPr>
        <w:t xml:space="preserve">cơ quan, đơn vị chuyên môn trực thuộc UBND cấp xã (đối với </w:t>
      </w:r>
      <w:r>
        <w:rPr>
          <w:color w:val="000000" w:themeColor="text1"/>
          <w:szCs w:val="28"/>
          <w14:textFill>
            <w14:solidFill>
              <w14:schemeClr w14:val="tx1"/>
            </w14:solidFill>
          </w14:textFill>
        </w:rPr>
        <w:t>trường hợp UBND cấp xã được Ủy ban nhân dân tỉnh phân cấp định giá) theo phân công có trách nhiệm tham mưu cấp có thẩm quyền định giá lựa chọn tổ chức, cá nhân kinh doanh, cung ứng hàng hóa, dịch vụ lập phương án giá theo quy định tại khoản 3 Điều 9 Nghị định số 85/2024/NĐ-CP (được sửa đổi, bổ sung bởi khoản 3 Điều 1 Nghị định số 128/2026/NĐ-CP).</w:t>
      </w:r>
    </w:p>
    <w:p w14:paraId="2A217923">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 xml:space="preserve">3. Đặc điểm kinh tế - kỹ thuật của hàng hóa, dịch vụ thuộc Danh mục hàng hóa, dịch vụ do Nhà nước định giá thực hiện theo quy định của pháp luật có liên quan. Trường hợp chưa có quy định thì cơ quan được phân công tại khoản 2 Điều này có trách nhiệm tham mưu Ủy ban nhân dân tỉnh ban hành quy định đặc điểm kinh tế - kỹ thuật theo thẩm quyền, bảo đảm phù hợp với yêu cầu công tác quản lý nhà nước về giá trên địa bàn theo quy định tại khoản 4 Điều 21 Luật Giá </w:t>
      </w:r>
      <w:r>
        <w:rPr>
          <w:iCs/>
          <w:color w:val="000000" w:themeColor="text1"/>
          <w:szCs w:val="28"/>
          <w14:textFill>
            <w14:solidFill>
              <w14:schemeClr w14:val="tx1"/>
            </w14:solidFill>
          </w14:textFill>
        </w:rPr>
        <w:t>số</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16/2023/QH15</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được</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sửa</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đổi,</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bổ sung</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bởi</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Luật</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số</w:t>
      </w:r>
      <w:r>
        <w:rPr>
          <w:color w:val="000000" w:themeColor="text1"/>
          <w:szCs w:val="28"/>
          <w14:textFill>
            <w14:solidFill>
              <w14:schemeClr w14:val="tx1"/>
            </w14:solidFill>
          </w14:textFill>
        </w:rPr>
        <w:t xml:space="preserve"> </w:t>
      </w:r>
      <w:r>
        <w:rPr>
          <w:iCs/>
          <w:color w:val="000000" w:themeColor="text1"/>
          <w:szCs w:val="28"/>
          <w14:textFill>
            <w14:solidFill>
              <w14:schemeClr w14:val="tx1"/>
            </w14:solidFill>
          </w14:textFill>
        </w:rPr>
        <w:t>140/2025/QH15</w:t>
      </w:r>
      <w:r>
        <w:rPr>
          <w:color w:val="000000" w:themeColor="text1"/>
          <w:szCs w:val="28"/>
          <w14:textFill>
            <w14:solidFill>
              <w14:schemeClr w14:val="tx1"/>
            </w14:solidFill>
          </w14:textFill>
        </w:rPr>
        <w:t xml:space="preserve"> .</w:t>
      </w:r>
    </w:p>
    <w:p w14:paraId="1EFB7325">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4. Việc lập phương án giá, thẩm định phương án giá, trình và ban hành văn bản định giá, điều chỉnh mức giá thực hiện theo quy định tại Điều 24 Luật Giá và Mục 2 Chương II Nghị định số 85/2024/NĐ-CP được sửa đổi, bổ sung bởi Điều 1, Điều 2, Điều 3 Nghị định số 128/2026/NĐ-CP.”</w:t>
      </w:r>
    </w:p>
    <w:p w14:paraId="4C194E69">
      <w:pPr>
        <w:spacing w:before="120" w:after="120"/>
        <w:ind w:firstLine="720"/>
        <w:jc w:val="both"/>
        <w:rPr>
          <w:bCs/>
          <w:color w:val="000000" w:themeColor="text1"/>
          <w:szCs w:val="28"/>
          <w:lang w:val="vi-VN"/>
          <w14:textFill>
            <w14:solidFill>
              <w14:schemeClr w14:val="tx1"/>
            </w14:solidFill>
          </w14:textFill>
        </w:rPr>
      </w:pPr>
      <w:r>
        <w:rPr>
          <w:bCs/>
          <w:color w:val="000000" w:themeColor="text1"/>
          <w:szCs w:val="28"/>
          <w:lang w:val="vi-VN"/>
          <w14:textFill>
            <w14:solidFill>
              <w14:schemeClr w14:val="tx1"/>
            </w14:solidFill>
          </w14:textFill>
        </w:rPr>
        <w:t xml:space="preserve">2. Sửa đổi, bổ sung </w:t>
      </w:r>
      <w:r>
        <w:rPr>
          <w:color w:val="000000" w:themeColor="text1"/>
          <w:szCs w:val="28"/>
          <w14:textFill>
            <w14:solidFill>
              <w14:schemeClr w14:val="tx1"/>
            </w14:solidFill>
          </w14:textFill>
        </w:rPr>
        <w:t>Điều 6</w:t>
      </w:r>
      <w:r>
        <w:rPr>
          <w:bCs/>
          <w:color w:val="000000" w:themeColor="text1"/>
          <w:szCs w:val="28"/>
          <w:lang w:val="vi-VN"/>
          <w14:textFill>
            <w14:solidFill>
              <w14:schemeClr w14:val="tx1"/>
            </w14:solidFill>
          </w14:textFill>
        </w:rPr>
        <w:t xml:space="preserve"> Quy định ban hành kèm theo như sau:</w:t>
      </w:r>
    </w:p>
    <w:p w14:paraId="3623C31E">
      <w:pPr>
        <w:spacing w:before="120" w:after="120"/>
        <w:ind w:firstLine="720"/>
        <w:jc w:val="both"/>
        <w:rPr>
          <w:color w:val="000000" w:themeColor="text1"/>
          <w:szCs w:val="28"/>
          <w14:textFill>
            <w14:solidFill>
              <w14:schemeClr w14:val="tx1"/>
            </w14:solidFill>
          </w14:textFill>
        </w:rPr>
      </w:pPr>
      <w:r>
        <w:rPr>
          <w:b/>
          <w:bCs/>
          <w:iCs/>
          <w:color w:val="000000" w:themeColor="text1"/>
          <w:szCs w:val="28"/>
          <w14:textFill>
            <w14:solidFill>
              <w14:schemeClr w14:val="tx1"/>
            </w14:solidFill>
          </w14:textFill>
        </w:rPr>
        <w:t>“Điều 6. Phân công tổ chức thực hiện kê khai giá</w:t>
      </w:r>
    </w:p>
    <w:p w14:paraId="1501330A">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1. Danh mục hàng hóa, dịch vụ thực hiện kê khai giá tại địa phương được quy định tại khoản 2 Điều 28 Luật Giá và khoản 1 Điều 14 Nghị định số 85/2024/NĐ-CP, bao gồm:</w:t>
      </w:r>
    </w:p>
    <w:p w14:paraId="6A0FB1A4">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a) Hàng hóa, dịch vụ thuộc danh mục bình ổn giá;</w:t>
      </w:r>
    </w:p>
    <w:p w14:paraId="771EC474">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b) Hàng hoá, dịch vụ do Nhà nước định khung giá, giá tối đa, giá tối thiểu để các tổ chức định mức giá cụ thể bán cho người tiêu dùng;</w:t>
      </w:r>
    </w:p>
    <w:p w14:paraId="1B81AB88">
      <w:pPr>
        <w:spacing w:before="120" w:after="120"/>
        <w:ind w:firstLine="720"/>
        <w:jc w:val="both"/>
        <w:rPr>
          <w:b/>
          <w:i/>
          <w:color w:val="000000" w:themeColor="text1"/>
          <w:szCs w:val="28"/>
          <w14:textFill>
            <w14:solidFill>
              <w14:schemeClr w14:val="tx1"/>
            </w14:solidFill>
          </w14:textFill>
        </w:rPr>
      </w:pPr>
      <w:r>
        <w:rPr>
          <w:color w:val="000000" w:themeColor="text1"/>
          <w:szCs w:val="28"/>
          <w14:textFill>
            <w14:solidFill>
              <w14:schemeClr w14:val="tx1"/>
            </w14:solidFill>
          </w14:textFill>
        </w:rPr>
        <w:t>c) Hàng hóa, dịch vụ thiết yếu khác do Chính phủ ban hành tại Mục IV Phần A Phụ lục V kèm theo Nghị định số 85/2024/NĐ-CP được sửa đổi, thay thế, bãi bỏ một số nội dung bởi Khoản 7 Điều 64 Nghị định 16/2026/NĐ-CP; điểm b, c, d Khoản 1 Điều 7 Nghị định 128/2026/NĐ-CP.</w:t>
      </w:r>
    </w:p>
    <w:p w14:paraId="4E13B099">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d) Hàng hóa, dịch vụ đặc thù thực hiện kê khai giá tại địa phương tại Phần B Phụ lục V kèm theo Nghị định số 85/2024/NĐ-CP: sở quản lý ngành, lĩnh vực căn cứ yêu cầu, mục tiêu quản lý, tình hình thực tế tại địa phương, đánh giá sự cần thiết của việc thực hiện kê khai giá tại địa phương đối với hàng hóa, dịch vụ đặc thù, có văn bản đề nghị gửi Sở Tài chính tổng hợp, báo cáo Ủy ban nhân dân tỉnh xem xét, quyết định tiếp nhận kê khai giá. Văn bản đề nghị cần nêu rõ tên hàng hóa, dịch vụ, dự kiến đặc điểm kinh tế - kỹ thuật của hàng hóa, dịch vụ, cơ quan tiếp nhận kê khai giá của hàng hóa, dịch vụ.</w:t>
      </w:r>
    </w:p>
    <w:p w14:paraId="23E8862D">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2. Cơ quan tiếp nhận kê khai giá</w:t>
      </w:r>
    </w:p>
    <w:p w14:paraId="2A702A2A">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a) Phân công cơ quan chuyên môn theo ngành, lĩnh vực quản lý về hàng hoá, dịch vụ tiếp nhận văn bản kê khai giá hàng hóa, dịch vụ được quy định tại Phụ lục II kèm theo Quyết định này;</w:t>
      </w:r>
    </w:p>
    <w:p w14:paraId="4F1F84A0">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Riêng việc tiếp nhận văn bản kê khai giá thiết bị y tế quy định tại Tiểu mục 15 Mục IV Phần A Phụ lục V kèm theo Nghị định số 85/2024/NĐ-CP thuộc thẩm quyền của người đứng đầu cơ quan chuyên môn về y tế thuộc Ủy ban nhân dân cấp tỉnh theo quy định tại Khoản 1 Điều 24 Nghị định 148/2025/NĐ-CP.</w:t>
      </w:r>
    </w:p>
    <w:p w14:paraId="71B41FD7">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b) Cơ quan được phân công tiếp nhận kê khai giá tại điểm a khoản này thực hiện quyền và trách nhiệm của Ủy ban nhân dân tỉnh quy định tại khoản 1 Điều 18 Nghị định số 85/2024/NĐ-CP.</w:t>
      </w:r>
    </w:p>
    <w:p w14:paraId="4D16AE38">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3. Tổ chức kinh doanh hàng hoá, dịch vụ thuộc đối tượng kê khai giá</w:t>
      </w:r>
    </w:p>
    <w:p w14:paraId="028A86C1">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a) Cơ quan được phân công tiếp nhận kê khai giá tại điểm a khoản 2 Điều này chủ trì, phối hợp Ủy ban nhân dân cấp xã rà soát, tổng hợp danh sách tổ chức kinh doanh hàng hóa, dịch vụ thực hiện kê khai giá tại địa phương gửi Sở Tài chính tổng hợp. Sở Tài chính chủ trì, phối hợp với các cơ quan được phân công tiếp nhận kê khai giá và các cơ quan, đơn vị liên quan tham mưu Ủy ban nhân dân tỉnh ban hành Thông báo danh sách tổ chức kinh doanh hàng hóa, dịch vụ thực hiện kê khai giá tại địa phương theo thời hạn và thông tin quy định tại điểm a, điểm đ khoản 2 Điều 16 Nghị định số 85/2024/NĐ-CP, được sửa đổi, bổ sung bởi khoản 1, khoản 3 Điều 4 Nghị định số 128/2026/NĐ-CP.</w:t>
      </w:r>
    </w:p>
    <w:p w14:paraId="356E1DF2">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b) Tổ chức kinh doanh hàng hóa, dịch vụ thuộc Danh sách thực hiện kê khai giá tại địa phương thực hiện quyền và trách nhiệm quy định tại khoản 2 Điều 18 Nghị định số 85/2024/NĐ-CP.</w:t>
      </w:r>
    </w:p>
    <w:p w14:paraId="2FF6B25E">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4. Đặc điểm kinh tế - kỹ thuật của hàng hóa, dịch vụ kê khai giá</w:t>
      </w:r>
    </w:p>
    <w:p w14:paraId="26257B58">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a) Đặc điểm kinh tế - kỹ thuật của hàng hóa, dịch vụ thuộc danh mục thực hiện kê khai giá trên phạm vi cả nước thực hiện theo quy định của pháp luật có liên quan;</w:t>
      </w:r>
    </w:p>
    <w:p w14:paraId="06F9A57B">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b) Đặc điểm kinh tế - kỹ thuật của hàng hóa, dịch vụ đặc thù thực hiện kê khai giá tại địa phương thực hiện theo quy định của Ủy ban nhân dân tỉnh. Sở quản lý ngành, lĩnh vực có trách nhiệm tham mưu Ủy ban nhân dân tỉnh ban hành đặc điểm kinh tế - kỹ thuật đối với hàng hóa, dịch vụ đặc thù thuộc lĩnh vực, phạm vi quản lý theo phân công tại Quyết định này, bảo đảm phù hợp với yêu cầu công tác quản lý nhà nước về giá trên địa bàn;</w:t>
      </w:r>
    </w:p>
    <w:p w14:paraId="324E103D">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c) Cơ quan có trách nhiệm tham mưu Ủy ban nhân dân tỉnh ban hành quy định đặc điểm kinh tế - kỹ thuật của hàng hóa, dịch vụ đặc thù thực hiện kê khai giá tại địa phương được quy định tại Phụ lục II kèm theo Quyết định này.</w:t>
      </w:r>
    </w:p>
    <w:p w14:paraId="09E8767C">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5. Trường hợp cần đề nghị điều chỉnh danh mục hàng hóa, dịch vụ thực hiện kê khai giá thuộc thẩm quyền của Chính phủ quy định tại điểm d khoản 2 Điều 28 của Luật Giá, Sở Tài chính chủ trì phối hợp các cơ quan, đơn vị liên quan báo cáo Ủy ban nhân dân tỉnh theo quy định tại khoản 1 Điều 15 Nghị định số 85/2024/NĐ-CP.”</w:t>
      </w:r>
    </w:p>
    <w:p w14:paraId="51668865">
      <w:pPr>
        <w:spacing w:before="120" w:after="120"/>
        <w:ind w:firstLine="720"/>
        <w:jc w:val="both"/>
        <w:rPr>
          <w:color w:val="000000" w:themeColor="text1"/>
          <w:szCs w:val="28"/>
          <w14:textFill>
            <w14:solidFill>
              <w14:schemeClr w14:val="tx1"/>
            </w14:solidFill>
          </w14:textFill>
        </w:rPr>
      </w:pPr>
      <w:r>
        <w:rPr>
          <w:bCs/>
          <w:color w:val="000000" w:themeColor="text1"/>
          <w:szCs w:val="28"/>
          <w:lang w:val="vi-VN"/>
          <w14:textFill>
            <w14:solidFill>
              <w14:schemeClr w14:val="tx1"/>
            </w14:solidFill>
          </w14:textFill>
        </w:rPr>
        <w:t xml:space="preserve">3. </w:t>
      </w:r>
      <w:r>
        <w:rPr>
          <w:color w:val="000000" w:themeColor="text1"/>
          <w:szCs w:val="28"/>
          <w14:textFill>
            <w14:solidFill>
              <w14:schemeClr w14:val="tx1"/>
            </w14:solidFill>
          </w14:textFill>
        </w:rPr>
        <w:t>Bổ sung điểm e vào khoản 1 và điểm đ vào khoản 2 Điều 12</w:t>
      </w:r>
      <w:r>
        <w:rPr>
          <w:bCs/>
          <w:color w:val="000000" w:themeColor="text1"/>
          <w:szCs w:val="28"/>
          <w:lang w:val="vi-VN"/>
          <w14:textFill>
            <w14:solidFill>
              <w14:schemeClr w14:val="tx1"/>
            </w14:solidFill>
          </w14:textFill>
        </w:rPr>
        <w:t xml:space="preserve"> Quy định ban hành kèm theo như sau:</w:t>
      </w:r>
    </w:p>
    <w:p w14:paraId="68E3EE9B">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“e) Giá hàng hóa, dịch vụ do cơ quan hiệp thương giá xác định đối với trường hợp Sở Tài chính được Ủy ban nhân dân tỉnh phân công chủ trì hiệp thương giá.”</w:t>
      </w:r>
    </w:p>
    <w:p w14:paraId="76ACCA76">
      <w:pPr>
        <w:spacing w:before="120" w:after="120"/>
        <w:ind w:firstLine="720"/>
        <w:jc w:val="both"/>
        <w:rPr>
          <w:color w:val="000000" w:themeColor="text1"/>
          <w:szCs w:val="28"/>
          <w14:textFill>
            <w14:solidFill>
              <w14:schemeClr w14:val="tx1"/>
            </w14:solidFill>
          </w14:textFill>
        </w:rPr>
      </w:pPr>
      <w:r>
        <w:rPr>
          <w:color w:val="000000" w:themeColor="text1"/>
          <w:szCs w:val="28"/>
          <w14:textFill>
            <w14:solidFill>
              <w14:schemeClr w14:val="tx1"/>
            </w14:solidFill>
          </w14:textFill>
        </w:rPr>
        <w:t>“đ) Giá hàng hóa, dịch vụ do cơ quan hiệp thương giá xác định đối với trường hợp sở quản lý ngành, lĩnh vực được Ủy ban nhân dân tỉnh phân công chủ trì hiệp thương giá.”</w:t>
      </w:r>
    </w:p>
    <w:p w14:paraId="11A2E127">
      <w:pPr>
        <w:spacing w:before="120" w:after="120"/>
        <w:ind w:firstLine="720"/>
        <w:jc w:val="both"/>
        <w:rPr>
          <w:b/>
          <w:bCs/>
          <w:color w:val="000000" w:themeColor="text1"/>
          <w:szCs w:val="28"/>
          <w:lang w:val="vi-VN"/>
          <w14:textFill>
            <w14:solidFill>
              <w14:schemeClr w14:val="tx1"/>
            </w14:solidFill>
          </w14:textFill>
        </w:rPr>
      </w:pPr>
      <w:r>
        <w:rPr>
          <w:b/>
          <w:bCs/>
          <w:color w:val="000000" w:themeColor="text1"/>
          <w:szCs w:val="28"/>
          <w:lang w:val="vi-VN"/>
          <w14:textFill>
            <w14:solidFill>
              <w14:schemeClr w14:val="tx1"/>
            </w14:solidFill>
          </w14:textFill>
        </w:rPr>
        <w:t xml:space="preserve">Điều </w:t>
      </w:r>
      <w:r>
        <w:rPr>
          <w:b/>
          <w:bCs/>
          <w:color w:val="000000" w:themeColor="text1"/>
          <w:szCs w:val="28"/>
          <w14:textFill>
            <w14:solidFill>
              <w14:schemeClr w14:val="tx1"/>
            </w14:solidFill>
          </w14:textFill>
        </w:rPr>
        <w:t>2</w:t>
      </w:r>
      <w:r>
        <w:rPr>
          <w:b/>
          <w:bCs/>
          <w:color w:val="000000" w:themeColor="text1"/>
          <w:szCs w:val="28"/>
          <w:lang w:val="vi-VN"/>
          <w14:textFill>
            <w14:solidFill>
              <w14:schemeClr w14:val="tx1"/>
            </w14:solidFill>
          </w14:textFill>
        </w:rPr>
        <w:t>. Điều khoản thi hành</w:t>
      </w:r>
    </w:p>
    <w:p w14:paraId="30A44C51">
      <w:pPr>
        <w:pStyle w:val="36"/>
        <w:spacing w:before="120" w:after="120"/>
        <w:ind w:firstLine="720"/>
        <w:jc w:val="both"/>
        <w:rPr>
          <w:rFonts w:eastAsia="Times New Roman"/>
          <w:b/>
          <w:bCs/>
          <w:color w:val="000000" w:themeColor="text1"/>
          <w:sz w:val="28"/>
          <w:szCs w:val="28"/>
          <w14:textFill>
            <w14:solidFill>
              <w14:schemeClr w14:val="tx1"/>
            </w14:solidFill>
          </w14:textFill>
        </w:rPr>
      </w:pPr>
      <w:r>
        <w:rPr>
          <w:bCs/>
          <w:color w:val="000000" w:themeColor="text1"/>
          <w:sz w:val="28"/>
          <w:szCs w:val="28"/>
          <w14:textFill>
            <w14:solidFill>
              <w14:schemeClr w14:val="tx1"/>
            </w14:solidFill>
          </w14:textFill>
        </w:rPr>
        <w:t>1.</w:t>
      </w:r>
      <w:r>
        <w:rPr>
          <w:b/>
          <w:bCs/>
          <w:color w:val="000000" w:themeColor="text1"/>
          <w:sz w:val="28"/>
          <w:szCs w:val="28"/>
          <w14:textFill>
            <w14:solidFill>
              <w14:schemeClr w14:val="tx1"/>
            </w14:solidFill>
          </w14:textFill>
        </w:rPr>
        <w:t xml:space="preserve"> </w:t>
      </w:r>
      <w:r>
        <w:rPr>
          <w:bCs/>
          <w:color w:val="000000" w:themeColor="text1"/>
          <w:sz w:val="28"/>
          <w:szCs w:val="28"/>
          <w14:textFill>
            <w14:solidFill>
              <w14:schemeClr w14:val="tx1"/>
            </w14:solidFill>
          </w14:textFill>
        </w:rPr>
        <w:t xml:space="preserve">Quyết định này có hiệu lực thi hành kể từ ngày </w:t>
      </w:r>
      <w:r>
        <w:rPr>
          <w:bCs/>
          <w:color w:val="000000" w:themeColor="text1"/>
          <w:sz w:val="28"/>
          <w:szCs w:val="28"/>
          <w:lang w:val="en-US"/>
          <w14:textFill>
            <w14:solidFill>
              <w14:schemeClr w14:val="tx1"/>
            </w14:solidFill>
          </w14:textFill>
        </w:rPr>
        <w:t xml:space="preserve">    </w:t>
      </w:r>
      <w:r>
        <w:rPr>
          <w:bCs/>
          <w:color w:val="000000" w:themeColor="text1"/>
          <w:sz w:val="28"/>
          <w:szCs w:val="28"/>
          <w14:textFill>
            <w14:solidFill>
              <w14:schemeClr w14:val="tx1"/>
            </w14:solidFill>
          </w14:textFill>
        </w:rPr>
        <w:t>/</w:t>
      </w:r>
      <w:r>
        <w:rPr>
          <w:bCs/>
          <w:color w:val="000000" w:themeColor="text1"/>
          <w:sz w:val="28"/>
          <w:szCs w:val="28"/>
          <w:lang w:val="en-US"/>
          <w14:textFill>
            <w14:solidFill>
              <w14:schemeClr w14:val="tx1"/>
            </w14:solidFill>
          </w14:textFill>
        </w:rPr>
        <w:t xml:space="preserve">    </w:t>
      </w:r>
      <w:r>
        <w:rPr>
          <w:bCs/>
          <w:color w:val="000000" w:themeColor="text1"/>
          <w:sz w:val="28"/>
          <w:szCs w:val="28"/>
          <w14:textFill>
            <w14:solidFill>
              <w14:schemeClr w14:val="tx1"/>
            </w14:solidFill>
          </w14:textFill>
        </w:rPr>
        <w:t>/2026.</w:t>
      </w:r>
    </w:p>
    <w:p w14:paraId="2A108D47">
      <w:pPr>
        <w:pStyle w:val="36"/>
        <w:spacing w:before="120" w:after="120"/>
        <w:ind w:firstLine="720"/>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2. Khi các văn bản được dẫn chiếu tại Quyết định này được cấp có thẩm quyền sửa đổi, bổ sung hoặc thay thế bằng văn bản mới thì áp dụng theo các văn bản sửa đổi, bổ sung hoặc thay thế. </w:t>
      </w:r>
    </w:p>
    <w:p w14:paraId="0D4D630B">
      <w:pPr>
        <w:spacing w:before="120" w:after="120"/>
        <w:ind w:firstLine="720"/>
        <w:jc w:val="both"/>
        <w:rPr>
          <w:bCs/>
          <w:color w:val="000000" w:themeColor="text1"/>
          <w:szCs w:val="28"/>
          <w:lang w:val="vi-VN"/>
          <w14:textFill>
            <w14:solidFill>
              <w14:schemeClr w14:val="tx1"/>
            </w14:solidFill>
          </w14:textFill>
        </w:rPr>
      </w:pPr>
      <w:r>
        <w:rPr>
          <w:bCs/>
          <w:color w:val="000000" w:themeColor="text1"/>
          <w:szCs w:val="28"/>
          <w:lang w:val="vi-VN"/>
          <w14:textFill>
            <w14:solidFill>
              <w14:schemeClr w14:val="tx1"/>
            </w14:solidFill>
          </w14:textFill>
        </w:rPr>
        <w:t>3. Chánh Văn phòng Ủy ban nhân dân tỉnh; Giám đốc các sở, Thủ trưởng các ban</w:t>
      </w:r>
      <w:r>
        <w:rPr>
          <w:bCs/>
          <w:color w:val="000000" w:themeColor="text1"/>
          <w:szCs w:val="28"/>
          <w14:textFill>
            <w14:solidFill>
              <w14:schemeClr w14:val="tx1"/>
            </w14:solidFill>
          </w14:textFill>
        </w:rPr>
        <w:t xml:space="preserve">, </w:t>
      </w:r>
      <w:r>
        <w:rPr>
          <w:bCs/>
          <w:color w:val="000000" w:themeColor="text1"/>
          <w:szCs w:val="28"/>
          <w:lang w:val="vi-VN"/>
          <w14:textFill>
            <w14:solidFill>
              <w14:schemeClr w14:val="tx1"/>
            </w14:solidFill>
          </w14:textFill>
        </w:rPr>
        <w:t xml:space="preserve">ngành, cơ quan đơn vị; Chủ tịch Ủy ban nhân dân các phường, xã và các tổ chức, cá nhân liên quan chịu trách nhiệm thi hành Quyết định này./. </w:t>
      </w:r>
    </w:p>
    <w:p w14:paraId="5808AC11">
      <w:pPr>
        <w:spacing w:before="60" w:after="60" w:line="259" w:lineRule="auto"/>
        <w:ind w:firstLine="720"/>
        <w:jc w:val="both"/>
        <w:rPr>
          <w:color w:val="000000" w:themeColor="text1"/>
          <w:lang w:val="vi-VN"/>
          <w14:textFill>
            <w14:solidFill>
              <w14:schemeClr w14:val="tx1"/>
            </w14:solidFill>
          </w14:textFill>
        </w:rPr>
      </w:pPr>
      <w:r>
        <w:rPr>
          <w:bCs/>
          <w:color w:val="000000" w:themeColor="text1"/>
          <w:lang w:val="vi-VN"/>
          <w14:textFill>
            <w14:solidFill>
              <w14:schemeClr w14:val="tx1"/>
            </w14:solidFill>
          </w14:textFill>
        </w:rPr>
        <w:tab/>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428"/>
        <w:gridCol w:w="4500"/>
      </w:tblGrid>
      <w:tr w14:paraId="73FD0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428" w:type="dxa"/>
            <w:tcBorders>
              <w:top w:val="nil"/>
              <w:left w:val="nil"/>
              <w:bottom w:val="nil"/>
              <w:right w:val="nil"/>
              <w:tl2br w:val="nil"/>
              <w:tr2bl w:val="nil"/>
            </w:tcBorders>
            <w:tcMar>
              <w:top w:w="0" w:type="dxa"/>
              <w:left w:w="108" w:type="dxa"/>
              <w:bottom w:w="0" w:type="dxa"/>
              <w:right w:w="108" w:type="dxa"/>
            </w:tcMar>
          </w:tcPr>
          <w:p w14:paraId="5FBDE8C2">
            <w:pPr>
              <w:rPr>
                <w:color w:val="000000" w:themeColor="text1"/>
                <w:sz w:val="22"/>
                <w:szCs w:val="22"/>
                <w:lang w:val="vi-VN"/>
                <w14:textFill>
                  <w14:solidFill>
                    <w14:schemeClr w14:val="tx1"/>
                  </w14:solidFill>
                </w14:textFill>
              </w:rPr>
            </w:pPr>
            <w:r>
              <w:rPr>
                <w:color w:val="000000" w:themeColor="text1"/>
                <w:lang w:val="vi-VN"/>
                <w14:textFill>
                  <w14:solidFill>
                    <w14:schemeClr w14:val="tx1"/>
                  </w14:solidFill>
                </w14:textFill>
              </w:rPr>
              <w:t> </w:t>
            </w:r>
            <w:r>
              <w:rPr>
                <w:b/>
                <w:bCs/>
                <w:i/>
                <w:iCs/>
                <w:color w:val="000000" w:themeColor="text1"/>
                <w:lang w:val="vi-VN"/>
                <w14:textFill>
                  <w14:solidFill>
                    <w14:schemeClr w14:val="tx1"/>
                  </w14:solidFill>
                </w14:textFill>
              </w:rPr>
              <w:t> </w:t>
            </w:r>
            <w:r>
              <w:rPr>
                <w:b/>
                <w:bCs/>
                <w:i/>
                <w:iCs/>
                <w:color w:val="000000" w:themeColor="text1"/>
                <w:sz w:val="24"/>
                <w:lang w:val="vi-VN"/>
                <w14:textFill>
                  <w14:solidFill>
                    <w14:schemeClr w14:val="tx1"/>
                  </w14:solidFill>
                </w14:textFill>
              </w:rPr>
              <w:t>Nơi nhận:</w:t>
            </w:r>
            <w:r>
              <w:rPr>
                <w:b/>
                <w:bCs/>
                <w:i/>
                <w:iCs/>
                <w:color w:val="000000" w:themeColor="text1"/>
                <w:lang w:val="vi-VN"/>
                <w14:textFill>
                  <w14:solidFill>
                    <w14:schemeClr w14:val="tx1"/>
                  </w14:solidFill>
                </w14:textFill>
              </w:rPr>
              <w:br w:type="textWrapping"/>
            </w:r>
            <w:r>
              <w:rPr>
                <w:color w:val="000000" w:themeColor="text1"/>
                <w:sz w:val="22"/>
                <w:szCs w:val="22"/>
                <w:lang w:val="vi-VN"/>
                <w14:textFill>
                  <w14:solidFill>
                    <w14:schemeClr w14:val="tx1"/>
                  </w14:solidFill>
                </w14:textFill>
              </w:rPr>
              <w:t>- Như khoản 3 Điều 3;</w:t>
            </w:r>
          </w:p>
          <w:p w14:paraId="1397397D">
            <w:pPr>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Văn phòng Chính phủ;</w:t>
            </w:r>
          </w:p>
          <w:p w14:paraId="2B85302D">
            <w:pPr>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Bộ</w:t>
            </w:r>
            <w:r>
              <w:rPr>
                <w:color w:val="000000" w:themeColor="text1"/>
                <w:sz w:val="22"/>
                <w:szCs w:val="22"/>
                <w14:textFill>
                  <w14:solidFill>
                    <w14:schemeClr w14:val="tx1"/>
                  </w14:solidFill>
                </w14:textFill>
              </w:rPr>
              <w:t xml:space="preserve"> Tài chính</w:t>
            </w:r>
          </w:p>
          <w:p w14:paraId="2F95F7EE">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Cục Kiểm tra văn bản và Tổ chức thi hành pháp luật - Bộ Tư pháp (để báo cáo);</w:t>
            </w:r>
          </w:p>
          <w:p w14:paraId="2755272D">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TTr Tỉnh ủy, TTr HĐND tỉnh;</w:t>
            </w:r>
          </w:p>
          <w:p w14:paraId="08CCA84B">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UBMTTQVN tỉnh;</w:t>
            </w:r>
          </w:p>
          <w:p w14:paraId="2E60E88A">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Cổng TTĐT Chính phủ;</w:t>
            </w:r>
          </w:p>
          <w:p w14:paraId="56C5BED0">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Chủ tịch, PCT UBND tỉnh;</w:t>
            </w:r>
          </w:p>
          <w:p w14:paraId="7B3612BE">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Các Ban HĐND tỉnh;</w:t>
            </w:r>
          </w:p>
          <w:p w14:paraId="6479F36A">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xml:space="preserve">- Báo </w:t>
            </w:r>
            <w:r>
              <w:rPr>
                <w:color w:val="000000" w:themeColor="text1"/>
                <w:sz w:val="22"/>
                <w:szCs w:val="22"/>
                <w14:textFill>
                  <w14:solidFill>
                    <w14:schemeClr w14:val="tx1"/>
                  </w14:solidFill>
                </w14:textFill>
              </w:rPr>
              <w:t>và Phát thanh Truyền hình tỉnh</w:t>
            </w:r>
            <w:r>
              <w:rPr>
                <w:color w:val="000000" w:themeColor="text1"/>
                <w:sz w:val="22"/>
                <w:szCs w:val="22"/>
                <w:lang w:val="vi-VN"/>
                <w14:textFill>
                  <w14:solidFill>
                    <w14:schemeClr w14:val="tx1"/>
                  </w14:solidFill>
                </w14:textFill>
              </w:rPr>
              <w:t>;</w:t>
            </w:r>
          </w:p>
          <w:p w14:paraId="357C1508">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Phó Chánh VP UBND tỉnh;</w:t>
            </w:r>
          </w:p>
          <w:p w14:paraId="743FA07B">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xml:space="preserve">- Cổng TTĐT tỉnh; </w:t>
            </w:r>
          </w:p>
          <w:p w14:paraId="47FC80F3">
            <w:pPr>
              <w:widowControl w:val="0"/>
              <w:rPr>
                <w:color w:val="000000" w:themeColor="text1"/>
                <w:sz w:val="22"/>
                <w:szCs w:val="22"/>
                <w:lang w:val="vi-VN"/>
                <w14:textFill>
                  <w14:solidFill>
                    <w14:schemeClr w14:val="tx1"/>
                  </w14:solidFill>
                </w14:textFill>
              </w:rPr>
            </w:pPr>
            <w:r>
              <w:rPr>
                <w:color w:val="000000" w:themeColor="text1"/>
                <w:sz w:val="22"/>
                <w:szCs w:val="22"/>
                <w:lang w:val="vi-VN"/>
                <w14:textFill>
                  <w14:solidFill>
                    <w14:schemeClr w14:val="tx1"/>
                  </w14:solidFill>
                </w14:textFill>
              </w:rPr>
              <w:t xml:space="preserve">- Trung tâm </w:t>
            </w:r>
            <w:r>
              <w:rPr>
                <w:color w:val="000000" w:themeColor="text1"/>
                <w:sz w:val="22"/>
                <w:szCs w:val="22"/>
                <w14:textFill>
                  <w14:solidFill>
                    <w14:schemeClr w14:val="tx1"/>
                  </w14:solidFill>
                </w14:textFill>
              </w:rPr>
              <w:t>Thông tin và XT, HTĐT tỉnh</w:t>
            </w:r>
            <w:r>
              <w:rPr>
                <w:color w:val="000000" w:themeColor="text1"/>
                <w:sz w:val="22"/>
                <w:szCs w:val="22"/>
                <w:lang w:val="vi-VN"/>
                <w14:textFill>
                  <w14:solidFill>
                    <w14:schemeClr w14:val="tx1"/>
                  </w14:solidFill>
                </w14:textFill>
              </w:rPr>
              <w:t>;</w:t>
            </w:r>
          </w:p>
          <w:p w14:paraId="3CEBC444">
            <w:pPr>
              <w:rPr>
                <w:color w:val="000000" w:themeColor="text1"/>
                <w:lang w:val="vi-VN"/>
                <w14:textFill>
                  <w14:solidFill>
                    <w14:schemeClr w14:val="tx1"/>
                  </w14:solidFill>
                </w14:textFill>
              </w:rPr>
            </w:pPr>
            <w:r>
              <w:rPr>
                <w:color w:val="000000" w:themeColor="text1"/>
                <w:sz w:val="22"/>
                <w:szCs w:val="22"/>
                <w:lang w:val="vi-VN"/>
                <w14:textFill>
                  <w14:solidFill>
                    <w14:schemeClr w14:val="tx1"/>
                  </w14:solidFill>
                </w14:textFill>
              </w:rPr>
              <w:t>- Lưu: VT, NL</w:t>
            </w:r>
            <w:r>
              <w:rPr>
                <w:color w:val="000000" w:themeColor="text1"/>
                <w:sz w:val="22"/>
                <w:szCs w:val="22"/>
                <w14:textFill>
                  <w14:solidFill>
                    <w14:schemeClr w14:val="tx1"/>
                  </w14:solidFill>
                </w14:textFill>
              </w:rPr>
              <w:t>, NL</w:t>
            </w:r>
            <w:r>
              <w:rPr>
                <w:color w:val="000000" w:themeColor="text1"/>
                <w:sz w:val="22"/>
                <w:szCs w:val="22"/>
                <w:vertAlign w:val="subscript"/>
                <w14:textFill>
                  <w14:solidFill>
                    <w14:schemeClr w14:val="tx1"/>
                  </w14:solidFill>
                </w14:textFill>
              </w:rPr>
              <w:t>2</w:t>
            </w:r>
            <w:r>
              <w:rPr>
                <w:color w:val="000000" w:themeColor="text1"/>
                <w:lang w:val="vi-VN"/>
                <w14:textFill>
                  <w14:solidFill>
                    <w14:schemeClr w14:val="tx1"/>
                  </w14:solidFill>
                </w14:textFill>
              </w:rPr>
              <w:t>.</w:t>
            </w:r>
          </w:p>
        </w:tc>
        <w:tc>
          <w:tcPr>
            <w:tcW w:w="4500" w:type="dxa"/>
            <w:tcBorders>
              <w:top w:val="nil"/>
              <w:left w:val="nil"/>
              <w:bottom w:val="nil"/>
              <w:right w:val="nil"/>
              <w:tl2br w:val="nil"/>
              <w:tr2bl w:val="nil"/>
            </w:tcBorders>
            <w:tcMar>
              <w:top w:w="0" w:type="dxa"/>
              <w:left w:w="108" w:type="dxa"/>
              <w:bottom w:w="0" w:type="dxa"/>
              <w:right w:w="108" w:type="dxa"/>
            </w:tcMar>
          </w:tcPr>
          <w:p w14:paraId="3BD54450">
            <w:pPr>
              <w:jc w:val="center"/>
              <w:rPr>
                <w:b/>
                <w:bCs/>
                <w:color w:val="000000" w:themeColor="text1"/>
                <w:sz w:val="24"/>
                <w14:textFill>
                  <w14:solidFill>
                    <w14:schemeClr w14:val="tx1"/>
                  </w14:solidFill>
                </w14:textFill>
              </w:rPr>
            </w:pPr>
            <w:r>
              <w:rPr>
                <w:b/>
                <w:bCs/>
                <w:color w:val="000000" w:themeColor="text1"/>
                <w:sz w:val="24"/>
                <w:lang w:val="vi-VN"/>
                <w14:textFill>
                  <w14:solidFill>
                    <w14:schemeClr w14:val="tx1"/>
                  </w14:solidFill>
                </w14:textFill>
              </w:rPr>
              <w:t>TM. ỦY BAN NHÂN DÂN</w:t>
            </w:r>
            <w:r>
              <w:rPr>
                <w:b/>
                <w:bCs/>
                <w:color w:val="000000" w:themeColor="text1"/>
                <w:sz w:val="24"/>
                <w:lang w:val="vi-VN"/>
                <w14:textFill>
                  <w14:solidFill>
                    <w14:schemeClr w14:val="tx1"/>
                  </w14:solidFill>
                </w14:textFill>
              </w:rPr>
              <w:br w:type="textWrapping"/>
            </w:r>
            <w:r>
              <w:rPr>
                <w:b/>
                <w:bCs/>
                <w:color w:val="000000" w:themeColor="text1"/>
                <w:sz w:val="24"/>
                <w14:textFill>
                  <w14:solidFill>
                    <w14:schemeClr w14:val="tx1"/>
                  </w14:solidFill>
                </w14:textFill>
              </w:rPr>
              <w:t xml:space="preserve">KT. </w:t>
            </w:r>
            <w:r>
              <w:rPr>
                <w:b/>
                <w:bCs/>
                <w:color w:val="000000" w:themeColor="text1"/>
                <w:sz w:val="24"/>
                <w:lang w:val="vi-VN"/>
                <w14:textFill>
                  <w14:solidFill>
                    <w14:schemeClr w14:val="tx1"/>
                  </w14:solidFill>
                </w14:textFill>
              </w:rPr>
              <w:t>CHỦ TỊCH</w:t>
            </w:r>
            <w:r>
              <w:rPr>
                <w:b/>
                <w:bCs/>
                <w:color w:val="000000" w:themeColor="text1"/>
                <w:sz w:val="24"/>
                <w:lang w:val="vi-VN"/>
                <w14:textFill>
                  <w14:solidFill>
                    <w14:schemeClr w14:val="tx1"/>
                  </w14:solidFill>
                </w14:textFill>
              </w:rPr>
              <w:br w:type="textWrapping"/>
            </w:r>
            <w:r>
              <w:rPr>
                <w:b/>
                <w:bCs/>
                <w:color w:val="000000" w:themeColor="text1"/>
                <w:sz w:val="24"/>
                <w14:textFill>
                  <w14:solidFill>
                    <w14:schemeClr w14:val="tx1"/>
                  </w14:solidFill>
                </w14:textFill>
              </w:rPr>
              <w:t>PHÓ CHỦ TỊCH</w:t>
            </w:r>
          </w:p>
          <w:p w14:paraId="7FAA8235">
            <w:pPr>
              <w:jc w:val="center"/>
              <w:rPr>
                <w:b/>
                <w:bCs/>
                <w:color w:val="000000" w:themeColor="text1"/>
                <w:szCs w:val="28"/>
                <w14:textFill>
                  <w14:solidFill>
                    <w14:schemeClr w14:val="tx1"/>
                  </w14:solidFill>
                </w14:textFill>
              </w:rPr>
            </w:pPr>
          </w:p>
          <w:p w14:paraId="4B522097">
            <w:pPr>
              <w:jc w:val="center"/>
              <w:rPr>
                <w:b/>
                <w:bCs/>
                <w:color w:val="000000" w:themeColor="text1"/>
                <w:szCs w:val="28"/>
                <w14:textFill>
                  <w14:solidFill>
                    <w14:schemeClr w14:val="tx1"/>
                  </w14:solidFill>
                </w14:textFill>
              </w:rPr>
            </w:pPr>
          </w:p>
          <w:p w14:paraId="28B92C14">
            <w:pPr>
              <w:jc w:val="center"/>
              <w:rPr>
                <w:b/>
                <w:bCs/>
                <w:color w:val="000000" w:themeColor="text1"/>
                <w:szCs w:val="28"/>
                <w14:textFill>
                  <w14:solidFill>
                    <w14:schemeClr w14:val="tx1"/>
                  </w14:solidFill>
                </w14:textFill>
              </w:rPr>
            </w:pPr>
          </w:p>
          <w:p w14:paraId="62DCD255">
            <w:pPr>
              <w:jc w:val="center"/>
              <w:rPr>
                <w:b/>
                <w:bCs/>
                <w:color w:val="000000" w:themeColor="text1"/>
                <w:szCs w:val="28"/>
                <w14:textFill>
                  <w14:solidFill>
                    <w14:schemeClr w14:val="tx1"/>
                  </w14:solidFill>
                </w14:textFill>
              </w:rPr>
            </w:pPr>
          </w:p>
          <w:p w14:paraId="4C7DE344">
            <w:pPr>
              <w:jc w:val="center"/>
              <w:rPr>
                <w:b/>
                <w:bCs/>
                <w:color w:val="000000" w:themeColor="text1"/>
                <w:szCs w:val="28"/>
                <w14:textFill>
                  <w14:solidFill>
                    <w14:schemeClr w14:val="tx1"/>
                  </w14:solidFill>
                </w14:textFill>
              </w:rPr>
            </w:pPr>
          </w:p>
          <w:p w14:paraId="1484801F">
            <w:pPr>
              <w:jc w:val="center"/>
              <w:rPr>
                <w:b/>
                <w:bCs/>
                <w:color w:val="000000" w:themeColor="text1"/>
                <w:szCs w:val="28"/>
                <w14:textFill>
                  <w14:solidFill>
                    <w14:schemeClr w14:val="tx1"/>
                  </w14:solidFill>
                </w14:textFill>
              </w:rPr>
            </w:pPr>
          </w:p>
          <w:p w14:paraId="3A33E5A0">
            <w:pPr>
              <w:jc w:val="center"/>
              <w:rPr>
                <w:color w:val="000000" w:themeColor="text1"/>
                <w14:textFill>
                  <w14:solidFill>
                    <w14:schemeClr w14:val="tx1"/>
                  </w14:solidFill>
                </w14:textFill>
              </w:rPr>
            </w:pPr>
            <w:r>
              <w:rPr>
                <w:b/>
                <w:bCs/>
                <w:color w:val="000000" w:themeColor="text1"/>
                <w:lang w:val="vi-VN"/>
                <w14:textFill>
                  <w14:solidFill>
                    <w14:schemeClr w14:val="tx1"/>
                  </w14:solidFill>
                </w14:textFill>
              </w:rPr>
              <w:br w:type="textWrapping"/>
            </w:r>
          </w:p>
        </w:tc>
      </w:tr>
    </w:tbl>
    <w:p w14:paraId="4CDF6776">
      <w:pPr>
        <w:tabs>
          <w:tab w:val="left" w:pos="0"/>
        </w:tabs>
        <w:ind w:firstLine="709"/>
        <w:rPr>
          <w:color w:val="000000" w:themeColor="text1"/>
          <w:szCs w:val="28"/>
          <w14:textFill>
            <w14:solidFill>
              <w14:schemeClr w14:val="tx1"/>
            </w14:solidFill>
          </w14:textFill>
        </w:rPr>
      </w:pPr>
    </w:p>
    <w:p w14:paraId="3191023E">
      <w:pPr>
        <w:tabs>
          <w:tab w:val="left" w:pos="0"/>
        </w:tabs>
        <w:ind w:firstLine="709"/>
        <w:jc w:val="right"/>
        <w:rPr>
          <w:bCs/>
          <w:i/>
          <w:color w:val="000000" w:themeColor="text1"/>
          <w:szCs w:val="28"/>
          <w:lang w:val="sv-SE" w:eastAsia="vi-VN"/>
          <w14:textFill>
            <w14:solidFill>
              <w14:schemeClr w14:val="tx1"/>
            </w14:solidFill>
          </w14:textFill>
        </w:rPr>
      </w:pPr>
    </w:p>
    <w:sectPr>
      <w:headerReference r:id="rId5" w:type="default"/>
      <w:footerReference r:id="rId6" w:type="even"/>
      <w:pgSz w:w="11907" w:h="16840"/>
      <w:pgMar w:top="1134" w:right="1134" w:bottom="1134" w:left="1701" w:header="510" w:footer="510" w:gutter="0"/>
      <w:pgNumType w:start="1"/>
      <w:cols w:space="720" w:num="1"/>
      <w:titlePg/>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VnTimeH">
    <w:altName w:val="Courier New"/>
    <w:panose1 w:val="00000000000000000000"/>
    <w:charset w:val="00"/>
    <w:family w:val="swiss"/>
    <w:pitch w:val="default"/>
    <w:sig w:usb0="00000000" w:usb1="00000000" w:usb2="00000000" w:usb3="00000000" w:csb0="0000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C32F7">
    <w:pPr>
      <w:pStyle w:val="14"/>
      <w:framePr w:wrap="around" w:vAnchor="text" w:hAnchor="margin" w:xAlign="center" w:y="1"/>
      <w:rPr>
        <w:rStyle w:val="18"/>
      </w:rPr>
    </w:pPr>
    <w:r>
      <w:rPr>
        <w:rStyle w:val="18"/>
      </w:rPr>
      <w:fldChar w:fldCharType="begin"/>
    </w:r>
    <w:r>
      <w:rPr>
        <w:rStyle w:val="18"/>
      </w:rPr>
      <w:instrText xml:space="preserve">PAGE  </w:instrText>
    </w:r>
    <w:r>
      <w:rPr>
        <w:rStyle w:val="18"/>
      </w:rPr>
      <w:fldChar w:fldCharType="end"/>
    </w:r>
  </w:p>
  <w:p w14:paraId="31BBFEA7">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6587741"/>
      <w:docPartObj>
        <w:docPartGallery w:val="AutoText"/>
      </w:docPartObj>
    </w:sdtPr>
    <w:sdtEndPr>
      <w:rPr>
        <w:sz w:val="24"/>
      </w:rPr>
    </w:sdtEndPr>
    <w:sdtContent>
      <w:p w14:paraId="3FF69A35">
        <w:pPr>
          <w:pStyle w:val="15"/>
          <w:jc w:val="center"/>
          <w:rPr>
            <w:sz w:val="24"/>
          </w:rPr>
        </w:pPr>
        <w:r>
          <w:rPr>
            <w:sz w:val="24"/>
          </w:rPr>
          <w:fldChar w:fldCharType="begin"/>
        </w:r>
        <w:r>
          <w:rPr>
            <w:sz w:val="24"/>
          </w:rPr>
          <w:instrText xml:space="preserve"> PAGE   \* MERGEFORMAT </w:instrText>
        </w:r>
        <w:r>
          <w:rPr>
            <w:sz w:val="24"/>
          </w:rPr>
          <w:fldChar w:fldCharType="separate"/>
        </w:r>
        <w:r>
          <w:rPr>
            <w:sz w:val="24"/>
          </w:rPr>
          <w:t>5</w:t>
        </w:r>
        <w:r>
          <w:rPr>
            <w:sz w:val="24"/>
          </w:rPr>
          <w:fldChar w:fldCharType="end"/>
        </w:r>
      </w:p>
    </w:sdtContent>
  </w:sdt>
  <w:p w14:paraId="7286A890">
    <w:pPr>
      <w:pStyle w:val="1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6A"/>
    <w:rsid w:val="000143ED"/>
    <w:rsid w:val="000160E5"/>
    <w:rsid w:val="00016D36"/>
    <w:rsid w:val="00022513"/>
    <w:rsid w:val="000368CF"/>
    <w:rsid w:val="000456F2"/>
    <w:rsid w:val="000510A8"/>
    <w:rsid w:val="000813B8"/>
    <w:rsid w:val="0008240A"/>
    <w:rsid w:val="00087981"/>
    <w:rsid w:val="000A3816"/>
    <w:rsid w:val="000C1C18"/>
    <w:rsid w:val="000C613F"/>
    <w:rsid w:val="000C733B"/>
    <w:rsid w:val="000E0F67"/>
    <w:rsid w:val="000E15DB"/>
    <w:rsid w:val="000E241D"/>
    <w:rsid w:val="000F515C"/>
    <w:rsid w:val="001122AF"/>
    <w:rsid w:val="00117055"/>
    <w:rsid w:val="0012690A"/>
    <w:rsid w:val="001358E1"/>
    <w:rsid w:val="0013646E"/>
    <w:rsid w:val="00146069"/>
    <w:rsid w:val="00156974"/>
    <w:rsid w:val="001647AE"/>
    <w:rsid w:val="00165059"/>
    <w:rsid w:val="00172958"/>
    <w:rsid w:val="0017537F"/>
    <w:rsid w:val="00175521"/>
    <w:rsid w:val="00183A9B"/>
    <w:rsid w:val="00190C5F"/>
    <w:rsid w:val="001A256A"/>
    <w:rsid w:val="001B1E72"/>
    <w:rsid w:val="001B6F3F"/>
    <w:rsid w:val="001C7DFE"/>
    <w:rsid w:val="001F0BFB"/>
    <w:rsid w:val="001F1429"/>
    <w:rsid w:val="001F6E66"/>
    <w:rsid w:val="00206329"/>
    <w:rsid w:val="0021440A"/>
    <w:rsid w:val="002157D4"/>
    <w:rsid w:val="00220341"/>
    <w:rsid w:val="00220D98"/>
    <w:rsid w:val="00234A39"/>
    <w:rsid w:val="00240BE4"/>
    <w:rsid w:val="00281E15"/>
    <w:rsid w:val="002B4540"/>
    <w:rsid w:val="002B6F78"/>
    <w:rsid w:val="002C7661"/>
    <w:rsid w:val="002F07A6"/>
    <w:rsid w:val="002F1965"/>
    <w:rsid w:val="002F71E1"/>
    <w:rsid w:val="002F7F12"/>
    <w:rsid w:val="003075EA"/>
    <w:rsid w:val="00310627"/>
    <w:rsid w:val="003126B6"/>
    <w:rsid w:val="003144A5"/>
    <w:rsid w:val="0033080E"/>
    <w:rsid w:val="003317C1"/>
    <w:rsid w:val="003326A0"/>
    <w:rsid w:val="00336CFE"/>
    <w:rsid w:val="0034492D"/>
    <w:rsid w:val="003467A7"/>
    <w:rsid w:val="00350EF4"/>
    <w:rsid w:val="00363B16"/>
    <w:rsid w:val="00363FEB"/>
    <w:rsid w:val="00366572"/>
    <w:rsid w:val="00370211"/>
    <w:rsid w:val="00381BBC"/>
    <w:rsid w:val="003843A0"/>
    <w:rsid w:val="003908D5"/>
    <w:rsid w:val="003B30FA"/>
    <w:rsid w:val="003B5259"/>
    <w:rsid w:val="003C1994"/>
    <w:rsid w:val="003C48D1"/>
    <w:rsid w:val="003D3048"/>
    <w:rsid w:val="003F366B"/>
    <w:rsid w:val="003F70C1"/>
    <w:rsid w:val="00403205"/>
    <w:rsid w:val="00415C8F"/>
    <w:rsid w:val="00427C64"/>
    <w:rsid w:val="00432FBB"/>
    <w:rsid w:val="004459EB"/>
    <w:rsid w:val="00445AAE"/>
    <w:rsid w:val="00454F22"/>
    <w:rsid w:val="00470AFC"/>
    <w:rsid w:val="004807C3"/>
    <w:rsid w:val="004834CD"/>
    <w:rsid w:val="00493DD5"/>
    <w:rsid w:val="004B39BE"/>
    <w:rsid w:val="004C436B"/>
    <w:rsid w:val="004C68CC"/>
    <w:rsid w:val="004C6C82"/>
    <w:rsid w:val="004D688E"/>
    <w:rsid w:val="004E053C"/>
    <w:rsid w:val="004E6125"/>
    <w:rsid w:val="004F524F"/>
    <w:rsid w:val="005112F1"/>
    <w:rsid w:val="0051559A"/>
    <w:rsid w:val="00520B40"/>
    <w:rsid w:val="005235EF"/>
    <w:rsid w:val="00530A82"/>
    <w:rsid w:val="0054307B"/>
    <w:rsid w:val="00562701"/>
    <w:rsid w:val="00565F8F"/>
    <w:rsid w:val="0058744B"/>
    <w:rsid w:val="0059184D"/>
    <w:rsid w:val="00596F76"/>
    <w:rsid w:val="005E6592"/>
    <w:rsid w:val="005F008A"/>
    <w:rsid w:val="00604025"/>
    <w:rsid w:val="00606ECE"/>
    <w:rsid w:val="006142C1"/>
    <w:rsid w:val="00614E13"/>
    <w:rsid w:val="006228D5"/>
    <w:rsid w:val="00636844"/>
    <w:rsid w:val="00636BA1"/>
    <w:rsid w:val="006374F5"/>
    <w:rsid w:val="006477AB"/>
    <w:rsid w:val="00653E6D"/>
    <w:rsid w:val="00667513"/>
    <w:rsid w:val="00673677"/>
    <w:rsid w:val="006765BE"/>
    <w:rsid w:val="00677D3A"/>
    <w:rsid w:val="00683046"/>
    <w:rsid w:val="00685834"/>
    <w:rsid w:val="006A57A9"/>
    <w:rsid w:val="006B193D"/>
    <w:rsid w:val="006D0272"/>
    <w:rsid w:val="006E1CE2"/>
    <w:rsid w:val="006E33D9"/>
    <w:rsid w:val="006E630E"/>
    <w:rsid w:val="00705585"/>
    <w:rsid w:val="007129DC"/>
    <w:rsid w:val="0072632E"/>
    <w:rsid w:val="007331DE"/>
    <w:rsid w:val="007368CD"/>
    <w:rsid w:val="00743032"/>
    <w:rsid w:val="007430F4"/>
    <w:rsid w:val="007445BC"/>
    <w:rsid w:val="007457F1"/>
    <w:rsid w:val="007476D8"/>
    <w:rsid w:val="007546C7"/>
    <w:rsid w:val="007656FA"/>
    <w:rsid w:val="00767F68"/>
    <w:rsid w:val="00774ADE"/>
    <w:rsid w:val="007847B3"/>
    <w:rsid w:val="0079273B"/>
    <w:rsid w:val="00793B54"/>
    <w:rsid w:val="007A5483"/>
    <w:rsid w:val="007B088A"/>
    <w:rsid w:val="007B3F0B"/>
    <w:rsid w:val="007B54F6"/>
    <w:rsid w:val="007D02F9"/>
    <w:rsid w:val="007D4604"/>
    <w:rsid w:val="007E0DE1"/>
    <w:rsid w:val="007E7376"/>
    <w:rsid w:val="007E7BF3"/>
    <w:rsid w:val="007F0217"/>
    <w:rsid w:val="0080432B"/>
    <w:rsid w:val="008066BF"/>
    <w:rsid w:val="008170A8"/>
    <w:rsid w:val="00827CE4"/>
    <w:rsid w:val="00833316"/>
    <w:rsid w:val="00850A3C"/>
    <w:rsid w:val="008541FD"/>
    <w:rsid w:val="008543E6"/>
    <w:rsid w:val="0087143C"/>
    <w:rsid w:val="00873574"/>
    <w:rsid w:val="008824E0"/>
    <w:rsid w:val="00891177"/>
    <w:rsid w:val="00892355"/>
    <w:rsid w:val="00893CDF"/>
    <w:rsid w:val="00895856"/>
    <w:rsid w:val="008B2556"/>
    <w:rsid w:val="008C5A43"/>
    <w:rsid w:val="008C68BB"/>
    <w:rsid w:val="008D1AD4"/>
    <w:rsid w:val="008D2E37"/>
    <w:rsid w:val="008D4145"/>
    <w:rsid w:val="008F77D5"/>
    <w:rsid w:val="00912086"/>
    <w:rsid w:val="00921BC2"/>
    <w:rsid w:val="00930769"/>
    <w:rsid w:val="00942F59"/>
    <w:rsid w:val="009478E4"/>
    <w:rsid w:val="00981596"/>
    <w:rsid w:val="009A5695"/>
    <w:rsid w:val="009B1F8A"/>
    <w:rsid w:val="009C6687"/>
    <w:rsid w:val="009D420D"/>
    <w:rsid w:val="009D6898"/>
    <w:rsid w:val="009F1AF2"/>
    <w:rsid w:val="00A31472"/>
    <w:rsid w:val="00A36091"/>
    <w:rsid w:val="00A45BA0"/>
    <w:rsid w:val="00A50243"/>
    <w:rsid w:val="00A50E2D"/>
    <w:rsid w:val="00A7446A"/>
    <w:rsid w:val="00A867F6"/>
    <w:rsid w:val="00A93357"/>
    <w:rsid w:val="00AB2BF1"/>
    <w:rsid w:val="00AB5475"/>
    <w:rsid w:val="00AD2544"/>
    <w:rsid w:val="00AD2BA0"/>
    <w:rsid w:val="00AF7CCC"/>
    <w:rsid w:val="00B057E3"/>
    <w:rsid w:val="00B21017"/>
    <w:rsid w:val="00B246AD"/>
    <w:rsid w:val="00B2513F"/>
    <w:rsid w:val="00B25344"/>
    <w:rsid w:val="00B26654"/>
    <w:rsid w:val="00B33FF9"/>
    <w:rsid w:val="00B41FBC"/>
    <w:rsid w:val="00B67542"/>
    <w:rsid w:val="00B802DE"/>
    <w:rsid w:val="00B85544"/>
    <w:rsid w:val="00B94B12"/>
    <w:rsid w:val="00BA4717"/>
    <w:rsid w:val="00BA48C9"/>
    <w:rsid w:val="00BA591B"/>
    <w:rsid w:val="00BB2FD8"/>
    <w:rsid w:val="00BB3D55"/>
    <w:rsid w:val="00BC0C2D"/>
    <w:rsid w:val="00BD2834"/>
    <w:rsid w:val="00BE0422"/>
    <w:rsid w:val="00BE4874"/>
    <w:rsid w:val="00BF1C0E"/>
    <w:rsid w:val="00BF233E"/>
    <w:rsid w:val="00C05D48"/>
    <w:rsid w:val="00C07DB9"/>
    <w:rsid w:val="00C108EC"/>
    <w:rsid w:val="00C14CDA"/>
    <w:rsid w:val="00C25369"/>
    <w:rsid w:val="00C268C2"/>
    <w:rsid w:val="00C331C3"/>
    <w:rsid w:val="00C34A91"/>
    <w:rsid w:val="00C40147"/>
    <w:rsid w:val="00C5146D"/>
    <w:rsid w:val="00C64F2D"/>
    <w:rsid w:val="00C66CF7"/>
    <w:rsid w:val="00C767EB"/>
    <w:rsid w:val="00C7730A"/>
    <w:rsid w:val="00C801F6"/>
    <w:rsid w:val="00C814AF"/>
    <w:rsid w:val="00C818AD"/>
    <w:rsid w:val="00C81FCE"/>
    <w:rsid w:val="00C85348"/>
    <w:rsid w:val="00C937E3"/>
    <w:rsid w:val="00C95254"/>
    <w:rsid w:val="00CA2EA4"/>
    <w:rsid w:val="00CA466C"/>
    <w:rsid w:val="00CB500F"/>
    <w:rsid w:val="00CC3A2F"/>
    <w:rsid w:val="00CD7785"/>
    <w:rsid w:val="00CF1117"/>
    <w:rsid w:val="00CF67AC"/>
    <w:rsid w:val="00D0036F"/>
    <w:rsid w:val="00D05A52"/>
    <w:rsid w:val="00D05D35"/>
    <w:rsid w:val="00D127EC"/>
    <w:rsid w:val="00D23D72"/>
    <w:rsid w:val="00D27579"/>
    <w:rsid w:val="00D40F9D"/>
    <w:rsid w:val="00D43350"/>
    <w:rsid w:val="00D438D6"/>
    <w:rsid w:val="00D43A25"/>
    <w:rsid w:val="00D53593"/>
    <w:rsid w:val="00D63A60"/>
    <w:rsid w:val="00D86479"/>
    <w:rsid w:val="00D90EF7"/>
    <w:rsid w:val="00DA4899"/>
    <w:rsid w:val="00DB1191"/>
    <w:rsid w:val="00DB5865"/>
    <w:rsid w:val="00DE72DB"/>
    <w:rsid w:val="00E202ED"/>
    <w:rsid w:val="00E35D94"/>
    <w:rsid w:val="00E42DDD"/>
    <w:rsid w:val="00E45DAC"/>
    <w:rsid w:val="00E45E92"/>
    <w:rsid w:val="00E7559C"/>
    <w:rsid w:val="00E8142C"/>
    <w:rsid w:val="00EA6FF3"/>
    <w:rsid w:val="00EB446D"/>
    <w:rsid w:val="00EB6689"/>
    <w:rsid w:val="00EB7C28"/>
    <w:rsid w:val="00EC31E4"/>
    <w:rsid w:val="00EC69CD"/>
    <w:rsid w:val="00ED020C"/>
    <w:rsid w:val="00EE3B93"/>
    <w:rsid w:val="00EE42F5"/>
    <w:rsid w:val="00EE7AA7"/>
    <w:rsid w:val="00EF6929"/>
    <w:rsid w:val="00F03F20"/>
    <w:rsid w:val="00F04C0A"/>
    <w:rsid w:val="00F112D9"/>
    <w:rsid w:val="00F13B0B"/>
    <w:rsid w:val="00F1656F"/>
    <w:rsid w:val="00F2430E"/>
    <w:rsid w:val="00F4027B"/>
    <w:rsid w:val="00F439E7"/>
    <w:rsid w:val="00F55041"/>
    <w:rsid w:val="00F571D7"/>
    <w:rsid w:val="00F603DB"/>
    <w:rsid w:val="00F61184"/>
    <w:rsid w:val="00F66509"/>
    <w:rsid w:val="00F75D7C"/>
    <w:rsid w:val="00F81BA9"/>
    <w:rsid w:val="00F846F2"/>
    <w:rsid w:val="00F865A7"/>
    <w:rsid w:val="00FA2154"/>
    <w:rsid w:val="00FC00B8"/>
    <w:rsid w:val="00FC5E3C"/>
    <w:rsid w:val="00FC72D8"/>
    <w:rsid w:val="00FD1D3B"/>
    <w:rsid w:val="00FD636F"/>
    <w:rsid w:val="00FE45AC"/>
    <w:rsid w:val="00FE658C"/>
    <w:rsid w:val="00FE79F3"/>
    <w:rsid w:val="00FF02AF"/>
    <w:rsid w:val="069E04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name="Body Text 2"/>
    <w:lsdException w:uiPriority="99" w:name="Body Text 3"/>
    <w:lsdException w:uiPriority="99" w:name="Body Text Indent 2"/>
    <w:lsdException w:unhideWhenUsed="0" w:uiPriority="0" w:name="Body Text Indent 3"/>
    <w:lsdException w:uiPriority="99" w:name="Block Text"/>
    <w:lsdException w:unhideWhenUsed="0" w:uiPriority="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8"/>
      <w:szCs w:val="24"/>
      <w:lang w:val="en-US" w:eastAsia="en-US" w:bidi="ar-SA"/>
    </w:rPr>
  </w:style>
  <w:style w:type="paragraph" w:styleId="2">
    <w:name w:val="heading 1"/>
    <w:basedOn w:val="1"/>
    <w:next w:val="1"/>
    <w:link w:val="21"/>
    <w:qFormat/>
    <w:uiPriority w:val="0"/>
    <w:pPr>
      <w:keepNext/>
      <w:outlineLvl w:val="0"/>
    </w:pPr>
    <w:rPr>
      <w:b/>
    </w:rPr>
  </w:style>
  <w:style w:type="paragraph" w:styleId="3">
    <w:name w:val="heading 2"/>
    <w:basedOn w:val="1"/>
    <w:next w:val="1"/>
    <w:link w:val="22"/>
    <w:qFormat/>
    <w:uiPriority w:val="0"/>
    <w:pPr>
      <w:keepNext/>
      <w:spacing w:before="40" w:after="40"/>
      <w:ind w:firstLine="720"/>
      <w:jc w:val="both"/>
      <w:outlineLvl w:val="1"/>
    </w:pPr>
    <w:rPr>
      <w:b/>
      <w:bCs/>
      <w:color w:val="0000FF"/>
      <w:szCs w:val="20"/>
    </w:rPr>
  </w:style>
  <w:style w:type="paragraph" w:styleId="4">
    <w:name w:val="heading 4"/>
    <w:basedOn w:val="1"/>
    <w:next w:val="1"/>
    <w:link w:val="23"/>
    <w:qFormat/>
    <w:uiPriority w:val="0"/>
    <w:pPr>
      <w:keepNext/>
      <w:jc w:val="center"/>
      <w:outlineLvl w:val="3"/>
    </w:pPr>
    <w:rPr>
      <w:b/>
      <w:sz w:val="32"/>
      <w:szCs w:val="20"/>
    </w:rPr>
  </w:style>
  <w:style w:type="paragraph" w:styleId="5">
    <w:name w:val="heading 5"/>
    <w:basedOn w:val="1"/>
    <w:next w:val="1"/>
    <w:link w:val="24"/>
    <w:qFormat/>
    <w:uiPriority w:val="0"/>
    <w:pPr>
      <w:keepNext/>
      <w:jc w:val="center"/>
      <w:outlineLvl w:val="4"/>
    </w:pPr>
    <w:rPr>
      <w:b/>
      <w:sz w:val="30"/>
      <w:szCs w:val="20"/>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34"/>
    <w:semiHidden/>
    <w:unhideWhenUsed/>
    <w:qFormat/>
    <w:uiPriority w:val="99"/>
    <w:rPr>
      <w:rFonts w:ascii="Segoe UI" w:hAnsi="Segoe UI" w:cs="Segoe UI"/>
      <w:sz w:val="18"/>
      <w:szCs w:val="18"/>
    </w:rPr>
  </w:style>
  <w:style w:type="paragraph" w:styleId="9">
    <w:name w:val="Body Text"/>
    <w:basedOn w:val="1"/>
    <w:link w:val="29"/>
    <w:semiHidden/>
    <w:qFormat/>
    <w:uiPriority w:val="0"/>
    <w:pPr>
      <w:jc w:val="both"/>
    </w:pPr>
    <w:rPr>
      <w:szCs w:val="20"/>
    </w:rPr>
  </w:style>
  <w:style w:type="paragraph" w:styleId="10">
    <w:name w:val="Body Text 2"/>
    <w:basedOn w:val="1"/>
    <w:link w:val="26"/>
    <w:semiHidden/>
    <w:uiPriority w:val="0"/>
    <w:pPr>
      <w:jc w:val="both"/>
    </w:pPr>
    <w:rPr>
      <w:szCs w:val="20"/>
    </w:rPr>
  </w:style>
  <w:style w:type="paragraph" w:styleId="11">
    <w:name w:val="Body Text Indent"/>
    <w:basedOn w:val="1"/>
    <w:link w:val="27"/>
    <w:semiHidden/>
    <w:uiPriority w:val="0"/>
    <w:pPr>
      <w:spacing w:before="40" w:after="40"/>
      <w:ind w:firstLine="795"/>
      <w:jc w:val="both"/>
    </w:pPr>
    <w:rPr>
      <w:color w:val="0000FF"/>
      <w:szCs w:val="20"/>
    </w:rPr>
  </w:style>
  <w:style w:type="paragraph" w:styleId="12">
    <w:name w:val="Body Text Indent 3"/>
    <w:basedOn w:val="1"/>
    <w:link w:val="28"/>
    <w:semiHidden/>
    <w:uiPriority w:val="0"/>
    <w:pPr>
      <w:overflowPunct w:val="0"/>
      <w:adjustRightInd w:val="0"/>
      <w:spacing w:after="120"/>
      <w:ind w:firstLine="567"/>
      <w:jc w:val="both"/>
    </w:pPr>
    <w:rPr>
      <w:color w:val="FF0000"/>
    </w:rPr>
  </w:style>
  <w:style w:type="character" w:styleId="13">
    <w:name w:val="annotation reference"/>
    <w:semiHidden/>
    <w:uiPriority w:val="0"/>
    <w:rPr>
      <w:sz w:val="16"/>
      <w:szCs w:val="16"/>
    </w:rPr>
  </w:style>
  <w:style w:type="paragraph" w:styleId="14">
    <w:name w:val="footer"/>
    <w:basedOn w:val="1"/>
    <w:link w:val="25"/>
    <w:qFormat/>
    <w:uiPriority w:val="99"/>
    <w:pPr>
      <w:tabs>
        <w:tab w:val="center" w:pos="4320"/>
        <w:tab w:val="right" w:pos="8640"/>
      </w:tabs>
    </w:pPr>
    <w:rPr>
      <w:szCs w:val="28"/>
    </w:rPr>
  </w:style>
  <w:style w:type="paragraph" w:styleId="15">
    <w:name w:val="header"/>
    <w:basedOn w:val="1"/>
    <w:link w:val="33"/>
    <w:unhideWhenUsed/>
    <w:qFormat/>
    <w:uiPriority w:val="99"/>
    <w:pPr>
      <w:tabs>
        <w:tab w:val="center" w:pos="4680"/>
        <w:tab w:val="right" w:pos="9360"/>
      </w:tabs>
    </w:pPr>
  </w:style>
  <w:style w:type="character" w:styleId="16">
    <w:name w:val="Hyperlink"/>
    <w:semiHidden/>
    <w:uiPriority w:val="0"/>
    <w:rPr>
      <w:color w:val="0000FF"/>
      <w:u w:val="single"/>
    </w:rPr>
  </w:style>
  <w:style w:type="paragraph" w:styleId="17">
    <w:name w:val="Normal (Web)"/>
    <w:basedOn w:val="1"/>
    <w:semiHidden/>
    <w:unhideWhenUsed/>
    <w:qFormat/>
    <w:uiPriority w:val="99"/>
    <w:pPr>
      <w:spacing w:before="100" w:beforeAutospacing="1" w:after="100" w:afterAutospacing="1"/>
    </w:pPr>
    <w:rPr>
      <w:sz w:val="24"/>
    </w:rPr>
  </w:style>
  <w:style w:type="character" w:styleId="18">
    <w:name w:val="page number"/>
    <w:basedOn w:val="6"/>
    <w:semiHidden/>
    <w:qFormat/>
    <w:uiPriority w:val="0"/>
  </w:style>
  <w:style w:type="table" w:styleId="19">
    <w:name w:val="Table Grid"/>
    <w:basedOn w:val="7"/>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link w:val="30"/>
    <w:qFormat/>
    <w:uiPriority w:val="0"/>
    <w:pPr>
      <w:jc w:val="center"/>
    </w:pPr>
    <w:rPr>
      <w:rFonts w:ascii=".VnTimeH" w:hAnsi=".VnTimeH"/>
      <w:b/>
      <w:sz w:val="36"/>
      <w:szCs w:val="20"/>
    </w:rPr>
  </w:style>
  <w:style w:type="character" w:customStyle="1" w:styleId="21">
    <w:name w:val="Heading 1 Char"/>
    <w:basedOn w:val="6"/>
    <w:link w:val="2"/>
    <w:uiPriority w:val="0"/>
    <w:rPr>
      <w:rFonts w:ascii="Times New Roman" w:hAnsi="Times New Roman" w:eastAsia="Times New Roman" w:cs="Times New Roman"/>
      <w:b/>
      <w:sz w:val="28"/>
      <w:szCs w:val="24"/>
    </w:rPr>
  </w:style>
  <w:style w:type="character" w:customStyle="1" w:styleId="22">
    <w:name w:val="Heading 2 Char"/>
    <w:basedOn w:val="6"/>
    <w:link w:val="3"/>
    <w:qFormat/>
    <w:uiPriority w:val="0"/>
    <w:rPr>
      <w:rFonts w:ascii="Times New Roman" w:hAnsi="Times New Roman" w:eastAsia="Times New Roman" w:cs="Times New Roman"/>
      <w:b/>
      <w:bCs/>
      <w:color w:val="0000FF"/>
      <w:sz w:val="28"/>
      <w:szCs w:val="20"/>
    </w:rPr>
  </w:style>
  <w:style w:type="character" w:customStyle="1" w:styleId="23">
    <w:name w:val="Heading 4 Char"/>
    <w:basedOn w:val="6"/>
    <w:link w:val="4"/>
    <w:uiPriority w:val="0"/>
    <w:rPr>
      <w:rFonts w:ascii="Times New Roman" w:hAnsi="Times New Roman" w:eastAsia="Times New Roman" w:cs="Times New Roman"/>
      <w:b/>
      <w:sz w:val="32"/>
      <w:szCs w:val="20"/>
    </w:rPr>
  </w:style>
  <w:style w:type="character" w:customStyle="1" w:styleId="24">
    <w:name w:val="Heading 5 Char"/>
    <w:basedOn w:val="6"/>
    <w:link w:val="5"/>
    <w:uiPriority w:val="0"/>
    <w:rPr>
      <w:rFonts w:ascii="Times New Roman" w:hAnsi="Times New Roman" w:eastAsia="Times New Roman" w:cs="Times New Roman"/>
      <w:b/>
      <w:sz w:val="30"/>
      <w:szCs w:val="20"/>
    </w:rPr>
  </w:style>
  <w:style w:type="character" w:customStyle="1" w:styleId="25">
    <w:name w:val="Footer Char"/>
    <w:basedOn w:val="6"/>
    <w:link w:val="14"/>
    <w:uiPriority w:val="99"/>
    <w:rPr>
      <w:rFonts w:ascii="Times New Roman" w:hAnsi="Times New Roman" w:eastAsia="Times New Roman" w:cs="Times New Roman"/>
      <w:sz w:val="28"/>
      <w:szCs w:val="28"/>
    </w:rPr>
  </w:style>
  <w:style w:type="character" w:customStyle="1" w:styleId="26">
    <w:name w:val="Body Text 2 Char"/>
    <w:basedOn w:val="6"/>
    <w:link w:val="10"/>
    <w:semiHidden/>
    <w:uiPriority w:val="0"/>
    <w:rPr>
      <w:rFonts w:ascii="Times New Roman" w:hAnsi="Times New Roman" w:eastAsia="Times New Roman" w:cs="Times New Roman"/>
      <w:sz w:val="28"/>
      <w:szCs w:val="20"/>
    </w:rPr>
  </w:style>
  <w:style w:type="character" w:customStyle="1" w:styleId="27">
    <w:name w:val="Body Text Indent Char"/>
    <w:basedOn w:val="6"/>
    <w:link w:val="11"/>
    <w:semiHidden/>
    <w:uiPriority w:val="0"/>
    <w:rPr>
      <w:rFonts w:ascii="Times New Roman" w:hAnsi="Times New Roman" w:eastAsia="Times New Roman" w:cs="Times New Roman"/>
      <w:color w:val="0000FF"/>
      <w:sz w:val="28"/>
      <w:szCs w:val="20"/>
    </w:rPr>
  </w:style>
  <w:style w:type="character" w:customStyle="1" w:styleId="28">
    <w:name w:val="Body Text Indent 3 Char"/>
    <w:basedOn w:val="6"/>
    <w:link w:val="12"/>
    <w:semiHidden/>
    <w:uiPriority w:val="0"/>
    <w:rPr>
      <w:rFonts w:ascii="Times New Roman" w:hAnsi="Times New Roman" w:eastAsia="Times New Roman" w:cs="Times New Roman"/>
      <w:color w:val="FF0000"/>
      <w:sz w:val="28"/>
      <w:szCs w:val="24"/>
    </w:rPr>
  </w:style>
  <w:style w:type="character" w:customStyle="1" w:styleId="29">
    <w:name w:val="Body Text Char"/>
    <w:basedOn w:val="6"/>
    <w:link w:val="9"/>
    <w:semiHidden/>
    <w:uiPriority w:val="0"/>
    <w:rPr>
      <w:rFonts w:ascii="Times New Roman" w:hAnsi="Times New Roman" w:eastAsia="Times New Roman" w:cs="Times New Roman"/>
      <w:sz w:val="28"/>
      <w:szCs w:val="20"/>
    </w:rPr>
  </w:style>
  <w:style w:type="character" w:customStyle="1" w:styleId="30">
    <w:name w:val="Title Char"/>
    <w:basedOn w:val="6"/>
    <w:link w:val="20"/>
    <w:uiPriority w:val="0"/>
    <w:rPr>
      <w:rFonts w:ascii=".VnTimeH" w:hAnsi=".VnTimeH" w:eastAsia="Times New Roman" w:cs="Times New Roman"/>
      <w:b/>
      <w:sz w:val="36"/>
      <w:szCs w:val="20"/>
    </w:rPr>
  </w:style>
  <w:style w:type="character" w:customStyle="1" w:styleId="31">
    <w:name w:val="fontstyle01"/>
    <w:uiPriority w:val="0"/>
    <w:rPr>
      <w:rFonts w:hint="default" w:ascii="Times New Roman" w:hAnsi="Times New Roman" w:cs="Times New Roman"/>
      <w:color w:val="000000"/>
      <w:sz w:val="28"/>
      <w:szCs w:val="28"/>
    </w:rPr>
  </w:style>
  <w:style w:type="paragraph" w:styleId="32">
    <w:name w:val="List Paragraph"/>
    <w:basedOn w:val="1"/>
    <w:qFormat/>
    <w:uiPriority w:val="34"/>
    <w:pPr>
      <w:ind w:left="720"/>
      <w:contextualSpacing/>
    </w:pPr>
  </w:style>
  <w:style w:type="character" w:customStyle="1" w:styleId="33">
    <w:name w:val="Header Char"/>
    <w:basedOn w:val="6"/>
    <w:link w:val="15"/>
    <w:qFormat/>
    <w:uiPriority w:val="99"/>
    <w:rPr>
      <w:rFonts w:ascii="Times New Roman" w:hAnsi="Times New Roman" w:eastAsia="Times New Roman" w:cs="Times New Roman"/>
      <w:sz w:val="28"/>
      <w:szCs w:val="24"/>
    </w:rPr>
  </w:style>
  <w:style w:type="character" w:customStyle="1" w:styleId="34">
    <w:name w:val="Balloon Text Char"/>
    <w:basedOn w:val="6"/>
    <w:link w:val="8"/>
    <w:semiHidden/>
    <w:qFormat/>
    <w:uiPriority w:val="99"/>
    <w:rPr>
      <w:rFonts w:ascii="Segoe UI" w:hAnsi="Segoe UI" w:eastAsia="Times New Roman" w:cs="Segoe UI"/>
      <w:sz w:val="18"/>
      <w:szCs w:val="18"/>
    </w:rPr>
  </w:style>
  <w:style w:type="paragraph" w:customStyle="1" w:styleId="35">
    <w:name w:val="Revision"/>
    <w:hidden/>
    <w:semiHidden/>
    <w:qFormat/>
    <w:uiPriority w:val="99"/>
    <w:pPr>
      <w:spacing w:after="0" w:line="240" w:lineRule="auto"/>
    </w:pPr>
    <w:rPr>
      <w:rFonts w:ascii="Times New Roman" w:hAnsi="Times New Roman" w:eastAsia="Times New Roman" w:cs="Times New Roman"/>
      <w:sz w:val="28"/>
      <w:szCs w:val="24"/>
      <w:lang w:val="en-US" w:eastAsia="en-US" w:bidi="ar-SA"/>
    </w:rPr>
  </w:style>
  <w:style w:type="paragraph" w:customStyle="1" w:styleId="36">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vi-VN"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9FC7C1-2A3D-4125-8EAE-4B7437FCAEFA}">
  <ds:schemaRefs/>
</ds:datastoreItem>
</file>

<file path=docProps/app.xml><?xml version="1.0" encoding="utf-8"?>
<Properties xmlns="http://schemas.openxmlformats.org/officeDocument/2006/extended-properties" xmlns:vt="http://schemas.openxmlformats.org/officeDocument/2006/docPropsVTypes">
  <Template>Normal</Template>
  <Pages>5</Pages>
  <Words>1270</Words>
  <Characters>4599</Characters>
  <Lines>76</Lines>
  <Paragraphs>21</Paragraphs>
  <TotalTime>220</TotalTime>
  <ScaleCrop>false</ScaleCrop>
  <LinksUpToDate>false</LinksUpToDate>
  <CharactersWithSpaces>5908</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2026-10-02T02:06:00Z</dcterms:created>
  <dc:creator>DELL</dc:creator>
  <cp:lastModifiedBy>user</cp:lastModifiedBy>
  <cp:lastPrinted>2026-07-12T22:20:00Z</cp:lastPrinted>
  <dcterms:modified xsi:type="dcterms:W3CDTF">2026-10-13T08:40:53Z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07D18A16E794432293CCFEB34F5171BF_13</vt:lpwstr>
  </property>
</Properties>
</file>