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Ind w:w="-252" w:type="dxa"/>
        <w:tblLook w:val="04A0" w:firstRow="1" w:lastRow="0" w:firstColumn="1" w:lastColumn="0" w:noHBand="0" w:noVBand="1"/>
      </w:tblPr>
      <w:tblGrid>
        <w:gridCol w:w="4500"/>
        <w:gridCol w:w="5220"/>
      </w:tblGrid>
      <w:tr>
        <w:trPr>
          <w:trHeight w:val="1258"/>
        </w:trPr>
        <w:tc>
          <w:tcPr>
            <w:tcW w:w="4500" w:type="dxa"/>
          </w:tcPr>
          <w:p>
            <w:pPr>
              <w:jc w:val="center"/>
              <w:rPr>
                <w:sz w:val="26"/>
                <w:szCs w:val="26"/>
              </w:rPr>
            </w:pPr>
            <w:r>
              <w:rPr>
                <w:sz w:val="26"/>
                <w:szCs w:val="26"/>
              </w:rPr>
              <w:t>UBND TỈNH HÀ TĨNH</w:t>
            </w:r>
          </w:p>
          <w:p>
            <w:pPr>
              <w:ind w:left="-108" w:right="-108"/>
              <w:jc w:val="center"/>
              <w:rPr>
                <w:b/>
                <w:spacing w:val="-10"/>
                <w:sz w:val="26"/>
                <w:szCs w:val="26"/>
              </w:rPr>
            </w:pPr>
            <w:r>
              <w:rPr>
                <w:b/>
                <w:spacing w:val="-10"/>
                <w:sz w:val="26"/>
                <w:szCs w:val="26"/>
              </w:rPr>
              <w:t>SỞ NÔNG NGHIỆP VÀ MÔI TRƯỜNG</w:t>
            </w:r>
          </w:p>
          <w:p>
            <w:pPr>
              <w:spacing w:before="120"/>
              <w:ind w:firstLine="74"/>
              <w:jc w:val="center"/>
              <w:rPr>
                <w:sz w:val="26"/>
                <w:szCs w:val="28"/>
              </w:rPr>
            </w:pPr>
            <w:r>
              <w:rPr>
                <w:noProof/>
                <w:lang w:eastAsia="zh-CN"/>
              </w:rPr>
              <mc:AlternateContent>
                <mc:Choice Requires="wps">
                  <w:drawing>
                    <wp:anchor distT="4294967295" distB="4294967295" distL="114300" distR="114300" simplePos="0" relativeHeight="251657216" behindDoc="0" locked="0" layoutInCell="1" allowOverlap="1">
                      <wp:simplePos x="0" y="0"/>
                      <wp:positionH relativeFrom="column">
                        <wp:posOffset>699135</wp:posOffset>
                      </wp:positionH>
                      <wp:positionV relativeFrom="paragraph">
                        <wp:posOffset>12700</wp:posOffset>
                      </wp:positionV>
                      <wp:extent cx="1352550" cy="0"/>
                      <wp:effectExtent l="0" t="0" r="19050" b="19050"/>
                      <wp:wrapNone/>
                      <wp:docPr id="169783265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05pt,1pt" to="161.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2PbGgIAADI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1mi6f5&#10;eDSbjjFSpAWttkJxlD2FHnXG5RBaqp0NVdKzejVbTb87pHTZEHXgkevbxUBeFjKSdylh4wzctO++&#10;aAYx5Oh1bNi5tm2AhFagc9TlcteFnz2icJiNp6PpFOSjvS8heZ9orPOfuW5RMAosgXQEJqet84EI&#10;yfuQcI/SGyFllF0q1BV4AdgxwWkpWHCGMGcP+1JadCJhcOIXqwLPY5jVR8UiWMMJW99sT4S82nC5&#10;VAEPSgE6N+s6GT8W6WI9X88ng8loth5M0qoafNqUk8Fskz1Nq3FVllX2M1DLJnkjGOMqsOunNJv8&#10;3RTc3st1vu5zem9D8h499gvI9v9IOmoZ5LsOwl6zy872GsNgxuDbIwqT/7gH+/Gpr34BAAD//wMA&#10;UEsDBBQABgAIAAAAIQCQE0Qv2QAAAAcBAAAPAAAAZHJzL2Rvd25yZXYueG1sTI/LTsMwEEX3SPyD&#10;NUhsKuo8JITSOBUCsmNDKWI7jadJRDxOY7cNfD0DG1ge3as7Z8r17AZ1oin0ng2kywQUceNtz62B&#10;7Wt9cwcqRGSLg2cy8EkB1tXlRYmF9Wd+odMmtkpGOBRooItxLLQOTUcOw9KPxJLt/eQwCk6tthOe&#10;ZdwNOkuSW+2wZ7nQ4UgPHTUfm6MzEOo3OtRfi2aRvOetp+zw+PyExlxfzfcrUJHm+FeGH31Rh0qc&#10;dv7INqhBOE1SqRrI5CXJ8ywX3v2yrkr937/6BgAA//8DAFBLAQItABQABgAIAAAAIQC2gziS/gAA&#10;AOEBAAATAAAAAAAAAAAAAAAAAAAAAABbQ29udGVudF9UeXBlc10ueG1sUEsBAi0AFAAGAAgAAAAh&#10;ADj9If/WAAAAlAEAAAsAAAAAAAAAAAAAAAAALwEAAF9yZWxzLy5yZWxzUEsBAi0AFAAGAAgAAAAh&#10;ADp/Y9saAgAAMgQAAA4AAAAAAAAAAAAAAAAALgIAAGRycy9lMm9Eb2MueG1sUEsBAi0AFAAGAAgA&#10;AAAhAJATRC/ZAAAABwEAAA8AAAAAAAAAAAAAAAAAdAQAAGRycy9kb3ducmV2LnhtbFBLBQYAAAAA&#10;BAAEAPMAAAB6BQAAAAA=&#10;"/>
                  </w:pict>
                </mc:Fallback>
              </mc:AlternateContent>
            </w:r>
            <w:r>
              <w:rPr>
                <w:sz w:val="26"/>
                <w:szCs w:val="28"/>
              </w:rPr>
              <w:t>Số:             /TTr-SNNMT</w:t>
            </w:r>
          </w:p>
          <w:p>
            <w:pPr>
              <w:jc w:val="center"/>
              <w:rPr>
                <w:b/>
                <w:sz w:val="26"/>
                <w:szCs w:val="28"/>
              </w:rPr>
            </w:pPr>
            <w:r>
              <w:rPr>
                <w:b/>
                <w:sz w:val="26"/>
                <w:szCs w:val="28"/>
              </w:rPr>
              <w:t>(Dự thảo)</w:t>
            </w:r>
          </w:p>
        </w:tc>
        <w:tc>
          <w:tcPr>
            <w:tcW w:w="5220" w:type="dxa"/>
          </w:tcPr>
          <w:p>
            <w:pPr>
              <w:ind w:left="-106" w:right="-124"/>
              <w:jc w:val="center"/>
              <w:rPr>
                <w:b/>
                <w:spacing w:val="-10"/>
                <w:sz w:val="26"/>
                <w:szCs w:val="26"/>
              </w:rPr>
            </w:pPr>
            <w:r>
              <w:rPr>
                <w:b/>
                <w:spacing w:val="-10"/>
                <w:sz w:val="26"/>
                <w:szCs w:val="26"/>
              </w:rPr>
              <w:t>CỘNG HÒA XÃ HỘI CHỦ NGHĨA VIỆT NAM</w:t>
            </w:r>
          </w:p>
          <w:p>
            <w:pPr>
              <w:ind w:left="-106" w:right="-124"/>
              <w:jc w:val="center"/>
              <w:rPr>
                <w:b/>
                <w:sz w:val="28"/>
                <w:szCs w:val="28"/>
              </w:rPr>
            </w:pPr>
            <w:r>
              <w:rPr>
                <w:b/>
                <w:sz w:val="28"/>
                <w:szCs w:val="28"/>
              </w:rPr>
              <w:t>Độc lập - Tự do - Hạnh phúc</w:t>
            </w:r>
          </w:p>
          <w:p>
            <w:pPr>
              <w:ind w:left="-106" w:right="-124"/>
              <w:jc w:val="center"/>
            </w:pPr>
            <w:r>
              <w:rPr>
                <w:noProof/>
                <w:lang w:eastAsia="zh-CN"/>
              </w:rPr>
              <mc:AlternateContent>
                <mc:Choice Requires="wps">
                  <w:drawing>
                    <wp:anchor distT="4294967295" distB="4294967295" distL="114300" distR="114300" simplePos="0" relativeHeight="251658240" behindDoc="0" locked="0" layoutInCell="1" allowOverlap="1">
                      <wp:simplePos x="0" y="0"/>
                      <wp:positionH relativeFrom="column">
                        <wp:posOffset>524510</wp:posOffset>
                      </wp:positionH>
                      <wp:positionV relativeFrom="paragraph">
                        <wp:posOffset>8890</wp:posOffset>
                      </wp:positionV>
                      <wp:extent cx="2171700" cy="0"/>
                      <wp:effectExtent l="0" t="0" r="19050" b="19050"/>
                      <wp:wrapNone/>
                      <wp:docPr id="80939270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3pt,.7pt" to="212.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QIAADEEAAAOAAAAZHJzL2Uyb0RvYy54bWysU9uO2yAQfa/Uf0B+T3xZ52bFWVV20pe0&#10;G2m3H0AAx6gYEJA4UdV/70DiKNu+VFX9gAdmOJw5M7N8PncCnZixXMkySsdJhJgkinJ5KKNvb5vR&#10;PELWYUmxUJKV0YXZ6Hn18cOy1wXLVKsEZQYBiLRFr8uodU4XcWxJyzpsx0ozCc5GmQ472JpDTA3u&#10;Ab0TcZYk07hXhmqjCLMWTuurM1oF/KZhxL00jWUOiTICbi6sJqx7v8arJS4OBuuWkxsN/A8sOswl&#10;PHqHqrHD6Gj4H1AdJ0ZZ1bgxUV2smoYTFnKAbNLkt2xeW6xZyAXEsfouk/1/sOTraWcQp2U0TxZP&#10;i2yWgEoSd1CqLZcMZUGiXtsCIiu5Mz5JcpaveqvId4ukqlosDyxQfbtouJd6UeN3V/zGanho339R&#10;FGLw0amg17kxnYcEJdA5lOVyLws7O0TgMEtnaeBFBl+Mi+GiNtZ9ZqpD3igjAaQDMD5trfNEcDGE&#10;+Hek2nAhQtWFRH0ZLSbZJFywSnDqnT7MmsO+EgadsO+b8IWswPMYZtRR0gDWMkzXN9thLq42PC6k&#10;x4NUgM7NujbGj0WyWM/X83yUZ9P1KE/qevRpU+Wj6SadTeqnuqrq9KenluZFyyll0rMbmjTN/64J&#10;buNyba97m95liN+jB72A7PAPpEMtffn8VNlir+hlZ4YaQ1+G4NsM+cZ/3IP9OOmrXwAAAP//AwBQ&#10;SwMEFAAGAAgAAAAhAAjJIRXZAAAABgEAAA8AAABkcnMvZG93bnJldi54bWxMjsFOwzAQRO9I/IO1&#10;SFyq1iFEVZXGqRCQGxdaENdtvCQR8TqN3Tbw9Sxc4Ph2RrOv2EyuVycaQ+fZwM0iAUVce9txY+Bl&#10;V81XoEJEtth7JgOfFGBTXl4UmFt/5mc6bWOjZIRDjgbaGIdc61C35DAs/EAs2bsfHUbBsdF2xLOM&#10;u16nSbLUDjuWDy0OdN9S/bE9OgOheqVD9TWrZ8nbbeMpPTw8PaIx11fT3RpUpCn+leFHX9ShFKe9&#10;P7INqjewSpfSlHsGSuIszYT3v6zLQv/XL78BAAD//wMAUEsBAi0AFAAGAAgAAAAhALaDOJL+AAAA&#10;4QEAABMAAAAAAAAAAAAAAAAAAAAAAFtDb250ZW50X1R5cGVzXS54bWxQSwECLQAUAAYACAAAACEA&#10;OP0h/9YAAACUAQAACwAAAAAAAAAAAAAAAAAvAQAAX3JlbHMvLnJlbHNQSwECLQAUAAYACAAAACEA&#10;//oUfxkCAAAxBAAADgAAAAAAAAAAAAAAAAAuAgAAZHJzL2Uyb0RvYy54bWxQSwECLQAUAAYACAAA&#10;ACEACMkhFdkAAAAGAQAADwAAAAAAAAAAAAAAAABzBAAAZHJzL2Rvd25yZXYueG1sUEsFBgAAAAAE&#10;AAQA8wAAAHkFAAAAAA==&#10;"/>
                  </w:pict>
                </mc:Fallback>
              </mc:AlternateContent>
            </w:r>
          </w:p>
          <w:p>
            <w:pPr>
              <w:ind w:left="-106" w:right="-124"/>
              <w:jc w:val="center"/>
              <w:rPr>
                <w:sz w:val="26"/>
                <w:szCs w:val="28"/>
              </w:rPr>
            </w:pPr>
            <w:r>
              <w:rPr>
                <w:i/>
                <w:sz w:val="28"/>
                <w:szCs w:val="28"/>
              </w:rPr>
              <w:t>Hà Tĩnh, ngày       tháng    năm 2026</w:t>
            </w:r>
          </w:p>
        </w:tc>
      </w:tr>
    </w:tbl>
    <w:p>
      <w:pPr>
        <w:tabs>
          <w:tab w:val="left" w:pos="675"/>
          <w:tab w:val="center" w:pos="4607"/>
        </w:tabs>
        <w:jc w:val="center"/>
      </w:pPr>
    </w:p>
    <w:p>
      <w:pPr>
        <w:tabs>
          <w:tab w:val="left" w:pos="675"/>
          <w:tab w:val="center" w:pos="4607"/>
        </w:tabs>
        <w:jc w:val="center"/>
      </w:pPr>
    </w:p>
    <w:p>
      <w:pPr>
        <w:tabs>
          <w:tab w:val="left" w:pos="675"/>
          <w:tab w:val="center" w:pos="4607"/>
        </w:tabs>
        <w:spacing w:before="120"/>
        <w:jc w:val="center"/>
        <w:rPr>
          <w:b/>
          <w:sz w:val="28"/>
          <w:szCs w:val="28"/>
        </w:rPr>
      </w:pPr>
      <w:r>
        <w:rPr>
          <w:b/>
          <w:sz w:val="28"/>
          <w:szCs w:val="28"/>
        </w:rPr>
        <w:t>TỜ TRÌNH</w:t>
      </w:r>
    </w:p>
    <w:p>
      <w:pPr>
        <w:jc w:val="center"/>
        <w:rPr>
          <w:b/>
          <w:sz w:val="28"/>
          <w:szCs w:val="28"/>
          <w:shd w:val="clear" w:color="auto" w:fill="FFFFFF"/>
        </w:rPr>
      </w:pPr>
      <w:r>
        <w:rPr>
          <w:b/>
          <w:sz w:val="28"/>
          <w:szCs w:val="28"/>
        </w:rPr>
        <w:t xml:space="preserve">Dự thảo Quyết định ban hành định mức kinh tế - kỹ thuật lập hành lang bảo vệ nguồn nước trên địa bàn tỉnh Hà Tĩnh </w:t>
      </w:r>
    </w:p>
    <w:p>
      <w:pPr>
        <w:jc w:val="center"/>
        <w:rPr>
          <w:sz w:val="28"/>
          <w:szCs w:val="28"/>
        </w:rPr>
      </w:pPr>
      <w:r>
        <w:rPr>
          <w:noProof/>
          <w:sz w:val="28"/>
          <w:szCs w:val="28"/>
          <w:lang w:eastAsia="zh-CN"/>
        </w:rPr>
        <mc:AlternateContent>
          <mc:Choice Requires="wps">
            <w:drawing>
              <wp:anchor distT="4294967295" distB="4294967295" distL="114300" distR="114300" simplePos="0" relativeHeight="251656192" behindDoc="0" locked="0" layoutInCell="1" allowOverlap="1">
                <wp:simplePos x="0" y="0"/>
                <wp:positionH relativeFrom="column">
                  <wp:posOffset>2338705</wp:posOffset>
                </wp:positionH>
                <wp:positionV relativeFrom="paragraph">
                  <wp:posOffset>100330</wp:posOffset>
                </wp:positionV>
                <wp:extent cx="1133475" cy="0"/>
                <wp:effectExtent l="0" t="0" r="0" b="0"/>
                <wp:wrapNone/>
                <wp:docPr id="4941303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29D302" id="_x0000_t32" coordsize="21600,21600" o:spt="32" o:oned="t" path="m,l21600,21600e" filled="f">
                <v:path arrowok="t" fillok="f" o:connecttype="none"/>
                <o:lock v:ext="edit" shapetype="t"/>
              </v:shapetype>
              <v:shape id="AutoShape 14" o:spid="_x0000_s1026" type="#_x0000_t32" style="position:absolute;margin-left:184.15pt;margin-top:7.9pt;width:89.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aHuQEAAFYDAAAOAAAAZHJzL2Uyb0RvYy54bWysU01v2zAMvQ/YfxB0Xxynyz6MOD2k6y7d&#10;FqDdD2Ak2RYmiwKpxMm/n6QmabHdhvkgUCL5+PhIr26PoxMHQ2zRt7KezaUwXqG2vm/lz6f7d5+k&#10;4Aheg0NvWnkyLG/Xb9+sptCYBQ7otCGRQDw3U2jlEGNoqorVYEbgGQbjk7NDGiGmK/WVJpgS+uiq&#10;xXz+oZqQdCBUhjm93j075brgd51R8UfXsYnCtTJxi+Wkcu7yWa1X0PQEYbDqTAP+gcUI1qeiV6g7&#10;iCD2ZP+CGq0iZOziTOFYYddZZUoPqZt6/kc3jwMEU3pJ4nC4ysT/D1Z9P2z8ljJ1dfSP4QHVLxYe&#10;NwP43hQCT6eQBldnqaopcHNNyRcOWxK76RvqFAP7iEWFY0djhkz9iWMR+3QV2xyjUOmxrm9u3n9c&#10;SqEuvgqaS2Igjl8NjiIbreRIYPshbtD7NFKkupSBwwPHTAuaS0Ku6vHeOlcm67yYWvl5uViWBEZn&#10;dXbmMKZ+t3EkDpB3o3ylx+R5HUa497qADQb0l7MdwbpnOxV3/ixNViOvHjc71KctXSRLwyssz4uW&#10;t+P1vWS//A7r3wAAAP//AwBQSwMEFAAGAAgAAAAhADWLeLjeAAAACQEAAA8AAABkcnMvZG93bnJl&#10;di54bWxMj81uwjAQhO+V+g7WVuqlKg7QRDTEQagShx75kXo18ZKkjddR7JDA03dRD/S2uzOa/SZb&#10;jbYRZ+x87UjBdBKBQCqcqalUcNhvXhcgfNBkdOMIFVzQwyp/fMh0atxAWzzvQik4hHyqFVQhtKmU&#10;vqjQaj9xLRJrJ9dZHXjtSmk6PXC4beQsihJpdU38odItflRY/Ox6qwB9H0+j9bstD5/X4eVrdv0e&#10;2r1Sz0/jegki4BjuZrjhMzrkzHR0PRkvGgXzZDFnKwsxV2BD/JbwcPw7yDyT/xvkvwAAAP//AwBQ&#10;SwECLQAUAAYACAAAACEAtoM4kv4AAADhAQAAEwAAAAAAAAAAAAAAAAAAAAAAW0NvbnRlbnRfVHlw&#10;ZXNdLnhtbFBLAQItABQABgAIAAAAIQA4/SH/1gAAAJQBAAALAAAAAAAAAAAAAAAAAC8BAABfcmVs&#10;cy8ucmVsc1BLAQItABQABgAIAAAAIQA8pDaHuQEAAFYDAAAOAAAAAAAAAAAAAAAAAC4CAABkcnMv&#10;ZTJvRG9jLnhtbFBLAQItABQABgAIAAAAIQA1i3i43gAAAAkBAAAPAAAAAAAAAAAAAAAAABMEAABk&#10;cnMvZG93bnJldi54bWxQSwUGAAAAAAQABADzAAAAHgUAAAAA&#10;"/>
            </w:pict>
          </mc:Fallback>
        </mc:AlternateContent>
      </w:r>
    </w:p>
    <w:p>
      <w:pPr>
        <w:jc w:val="center"/>
        <w:rPr>
          <w:sz w:val="28"/>
          <w:szCs w:val="28"/>
        </w:rPr>
      </w:pPr>
      <w:r>
        <w:rPr>
          <w:sz w:val="28"/>
          <w:szCs w:val="28"/>
        </w:rPr>
        <w:t>Kính gửi: Ủy ban nhân dân tỉnh Hà Tĩnh</w:t>
      </w:r>
    </w:p>
    <w:p>
      <w:pPr>
        <w:pStyle w:val="NormalWeb"/>
        <w:spacing w:before="120" w:beforeAutospacing="0" w:after="0" w:afterAutospacing="0"/>
        <w:ind w:firstLine="720"/>
        <w:jc w:val="both"/>
        <w:rPr>
          <w:bCs/>
          <w:sz w:val="28"/>
          <w:szCs w:val="28"/>
          <w:lang w:val="nb-NO"/>
        </w:rPr>
      </w:pPr>
      <w:r>
        <w:rPr>
          <w:bCs/>
          <w:sz w:val="28"/>
          <w:szCs w:val="28"/>
          <w:lang w:val="nb-NO"/>
        </w:rPr>
        <w:t>Thực hiện quy định của Luật Tổ chức chính quyền địa phương số  72/2025/QH15; Luật Ban hành văn bản quy phạm pháp luật số 64/2025/QH15  được sửa đổi, bổ sung một số điều bởi Luật số 87/2025/QH15; Luật Tài nguyên nước số 28/2023/QH15;</w:t>
      </w:r>
      <w:r>
        <w:rPr>
          <w:sz w:val="28"/>
          <w:szCs w:val="28"/>
        </w:rPr>
        <w:t xml:space="preserve"> </w:t>
      </w:r>
      <w:r>
        <w:rPr>
          <w:bCs/>
          <w:sz w:val="28"/>
          <w:szCs w:val="28"/>
          <w:lang w:val="nb-NO"/>
        </w:rPr>
        <w:t>Luật Sửa đổi, bổ sung một số điều của 15 Luật trong lĩnh vực Nông nghiệp và Môi trường số 146/2025/QH15; Nghị định số  32/2019/NĐ-CP của Chính phủ về việc quy định giao nhiệm vụ, đặt hàng hoặc  đấu thầu cung cấp sản phẩm, dịch vụ công sử dụng ngân sách nhà nước từ nguồn  kinh phí chi thường xuyên; Nghị định số 111/2025/NĐ-CP của Chính phủ về  việc sửa đổi, bổ sung một số điều của Nghị định số 60/2021/NĐ-CP của Chính  phủ quy định cơ chế tự chủ tài chính của đơn vị sự nghiệp công lập; Thông tư số 23/2024/TT-BTNMT ngày 26 tháng 11 năm 2024 của Bộ trưởng Bộ Tài nguyên và Môi trường quy định kỹ thuật lập hành lang bảo vệ nguồn nước;</w:t>
      </w:r>
    </w:p>
    <w:p>
      <w:pPr>
        <w:pStyle w:val="NormalWeb"/>
        <w:spacing w:before="120" w:beforeAutospacing="0" w:after="0" w:afterAutospacing="0"/>
        <w:ind w:firstLine="720"/>
        <w:jc w:val="both"/>
        <w:rPr>
          <w:bCs/>
          <w:sz w:val="28"/>
          <w:szCs w:val="28"/>
          <w:lang w:val="nb-NO"/>
        </w:rPr>
      </w:pPr>
      <w:r>
        <w:rPr>
          <w:bCs/>
          <w:sz w:val="28"/>
          <w:szCs w:val="28"/>
          <w:lang w:val="nb-NO"/>
        </w:rPr>
        <w:t xml:space="preserve">Sở Nông nghiệp và Môi trường trình UBND tỉnh Dự thảo Quyết định ban  hành định mức kinh tế - kỹ thuật lập hành lang bảo vệ nguồn nước trên địa bàn tỉnh Hà Tĩnh, với các nội dung như sau: </w:t>
      </w:r>
    </w:p>
    <w:p>
      <w:pPr>
        <w:pStyle w:val="NormalWeb"/>
        <w:spacing w:before="120" w:beforeAutospacing="0" w:after="0" w:afterAutospacing="0"/>
        <w:ind w:firstLine="720"/>
        <w:jc w:val="both"/>
        <w:rPr>
          <w:b/>
          <w:sz w:val="28"/>
          <w:szCs w:val="28"/>
          <w:lang w:val="nb-NO"/>
        </w:rPr>
      </w:pPr>
      <w:r>
        <w:rPr>
          <w:b/>
          <w:sz w:val="28"/>
          <w:szCs w:val="28"/>
          <w:lang w:val="nb-NO"/>
        </w:rPr>
        <w:t xml:space="preserve">I. SỰ CẦN THIẾT BAN HÀNH VĂN BẢN </w:t>
      </w:r>
    </w:p>
    <w:p>
      <w:pPr>
        <w:pStyle w:val="NormalWeb"/>
        <w:spacing w:before="120" w:beforeAutospacing="0" w:after="0" w:afterAutospacing="0"/>
        <w:ind w:firstLine="720"/>
        <w:jc w:val="both"/>
        <w:rPr>
          <w:b/>
          <w:sz w:val="28"/>
          <w:szCs w:val="28"/>
          <w:lang w:val="nb-NO"/>
        </w:rPr>
      </w:pPr>
      <w:r>
        <w:rPr>
          <w:b/>
          <w:sz w:val="28"/>
          <w:szCs w:val="28"/>
          <w:lang w:val="nb-NO"/>
        </w:rPr>
        <w:t xml:space="preserve">1. Cơ sở pháp lý </w:t>
      </w:r>
    </w:p>
    <w:p>
      <w:pPr>
        <w:pStyle w:val="NormalWeb"/>
        <w:spacing w:before="120" w:beforeAutospacing="0" w:after="0" w:afterAutospacing="0"/>
        <w:ind w:firstLine="720"/>
        <w:jc w:val="both"/>
        <w:rPr>
          <w:bCs/>
          <w:sz w:val="28"/>
          <w:szCs w:val="28"/>
          <w:lang w:val="nb-NO"/>
        </w:rPr>
      </w:pPr>
      <w:r>
        <w:rPr>
          <w:bCs/>
          <w:sz w:val="28"/>
          <w:szCs w:val="28"/>
          <w:lang w:val="nb-NO"/>
        </w:rPr>
        <w:t xml:space="preserve">- Luật Tổ chức chính quyền địa phương số 72/2025/QH15;  </w:t>
      </w:r>
    </w:p>
    <w:p>
      <w:pPr>
        <w:pStyle w:val="NormalWeb"/>
        <w:spacing w:before="120" w:beforeAutospacing="0" w:after="0" w:afterAutospacing="0"/>
        <w:ind w:firstLine="720"/>
        <w:jc w:val="both"/>
        <w:rPr>
          <w:bCs/>
          <w:sz w:val="28"/>
          <w:szCs w:val="28"/>
          <w:lang w:val="nb-NO"/>
        </w:rPr>
      </w:pPr>
      <w:r>
        <w:rPr>
          <w:bCs/>
          <w:sz w:val="28"/>
          <w:szCs w:val="28"/>
          <w:lang w:val="nb-NO"/>
        </w:rPr>
        <w:t xml:space="preserve">- Luật Ban hành văn bản quy phạm pháp luật số 64/2025/QH15 được sửa  đổi, bổ sung một số điều bởi Luật số 87/2025/QH15;  </w:t>
      </w:r>
    </w:p>
    <w:p>
      <w:pPr>
        <w:pStyle w:val="NormalWeb"/>
        <w:spacing w:before="120" w:beforeAutospacing="0" w:after="0" w:afterAutospacing="0"/>
        <w:ind w:firstLine="720"/>
        <w:jc w:val="both"/>
        <w:rPr>
          <w:bCs/>
          <w:sz w:val="28"/>
          <w:szCs w:val="28"/>
          <w:lang w:val="nb-NO"/>
        </w:rPr>
      </w:pPr>
      <w:r>
        <w:rPr>
          <w:bCs/>
          <w:sz w:val="28"/>
          <w:szCs w:val="28"/>
          <w:lang w:val="nb-NO"/>
        </w:rPr>
        <w:t xml:space="preserve">- Luật Tài nguyên nước số 28/2023/QH15; </w:t>
      </w:r>
    </w:p>
    <w:p>
      <w:pPr>
        <w:spacing w:before="120"/>
        <w:ind w:firstLine="720"/>
        <w:jc w:val="both"/>
        <w:rPr>
          <w:sz w:val="28"/>
          <w:szCs w:val="28"/>
          <w:lang w:val="nb-NO" w:bidi="vi-VN"/>
        </w:rPr>
      </w:pPr>
      <w:r>
        <w:rPr>
          <w:sz w:val="28"/>
          <w:szCs w:val="28"/>
          <w:lang w:val="nb-NO" w:bidi="vi-VN"/>
        </w:rPr>
        <w:t>- Luật sửa đổi, bổ sung một số điều của 15 Luật trong lĩnh vực Nông nghiệp và Môi trường số 146/2025/QH15;</w:t>
      </w:r>
    </w:p>
    <w:p>
      <w:pPr>
        <w:spacing w:before="120"/>
        <w:ind w:firstLine="720"/>
        <w:jc w:val="both"/>
        <w:rPr>
          <w:sz w:val="28"/>
          <w:szCs w:val="28"/>
          <w:lang w:val="nb-NO" w:bidi="vi-VN"/>
        </w:rPr>
      </w:pPr>
      <w:r>
        <w:rPr>
          <w:sz w:val="28"/>
          <w:szCs w:val="28"/>
          <w:lang w:val="nb-NO" w:bidi="vi-VN"/>
        </w:rPr>
        <w:t>- Nghị định số 53/2024/NĐ-CP của Chính phủ hướng dẫn thi hành một số điều của Luật Tài nguyên nước;</w:t>
      </w:r>
    </w:p>
    <w:p>
      <w:pPr>
        <w:spacing w:before="120"/>
        <w:ind w:firstLine="720"/>
        <w:jc w:val="both"/>
        <w:rPr>
          <w:sz w:val="28"/>
          <w:szCs w:val="28"/>
          <w:lang w:val="nb-NO" w:bidi="vi-VN"/>
        </w:rPr>
      </w:pPr>
      <w:r>
        <w:rPr>
          <w:sz w:val="28"/>
          <w:szCs w:val="28"/>
          <w:lang w:val="nb-NO" w:bidi="vi-VN"/>
        </w:rPr>
        <w:t>- Nghị định số 23/2026/NĐ-CP của Chính phủ sửa đổi, bổ sung một số điều của các Nghị định trong lĩnh vực tài nguyên nước;</w:t>
      </w:r>
    </w:p>
    <w:p>
      <w:pPr>
        <w:spacing w:before="120"/>
        <w:ind w:firstLine="720"/>
        <w:jc w:val="both"/>
        <w:rPr>
          <w:sz w:val="28"/>
          <w:szCs w:val="28"/>
          <w:lang w:val="nb-NO" w:bidi="vi-VN"/>
        </w:rPr>
      </w:pPr>
      <w:r>
        <w:rPr>
          <w:sz w:val="28"/>
          <w:szCs w:val="28"/>
          <w:lang w:val="nb-NO" w:bidi="vi-VN"/>
        </w:rPr>
        <w:t>- Nghị định số 204/2004/NĐ-CP của Chính phủ quy định về chế độ tiền lương đối với cán bộ công chức, viên chức và lực lượng vũ trang;</w:t>
      </w:r>
    </w:p>
    <w:p>
      <w:pPr>
        <w:spacing w:before="120"/>
        <w:ind w:firstLine="720"/>
        <w:jc w:val="both"/>
        <w:rPr>
          <w:sz w:val="28"/>
          <w:szCs w:val="28"/>
          <w:lang w:val="nb-NO" w:bidi="vi-VN"/>
        </w:rPr>
      </w:pPr>
      <w:r>
        <w:rPr>
          <w:sz w:val="28"/>
          <w:szCs w:val="28"/>
          <w:lang w:val="nb-NO" w:bidi="vi-VN"/>
        </w:rPr>
        <w:lastRenderedPageBreak/>
        <w:t>- Nghị định số 32/2019/NĐ-CP của Chính phủ về việc quy định giao nhiệm vụ, đặt hàng hoặc đấu thầu cung cấp sản phẩm, dịch vụ công sử dụng ngân sách nhà nước từ nguồn  kinh phí chi thường xuyên;</w:t>
      </w:r>
    </w:p>
    <w:p>
      <w:pPr>
        <w:shd w:val="clear" w:color="auto" w:fill="FFFFFF"/>
        <w:spacing w:before="120"/>
        <w:ind w:firstLine="720"/>
        <w:jc w:val="both"/>
        <w:rPr>
          <w:iCs/>
          <w:sz w:val="28"/>
          <w:szCs w:val="28"/>
          <w:shd w:val="clear" w:color="auto" w:fill="FFFFFF"/>
          <w:lang w:val="nb-NO"/>
        </w:rPr>
      </w:pPr>
      <w:r>
        <w:rPr>
          <w:iCs/>
          <w:sz w:val="28"/>
          <w:szCs w:val="28"/>
          <w:shd w:val="clear" w:color="auto" w:fill="FFFFFF"/>
          <w:lang w:val="nb-NO"/>
        </w:rPr>
        <w:t>- Nghị định số 60/2021/NĐ-CP của Chính phủ quy định về cơ chế tự chủ tài chính của đơn vị sự nghiệp công lập;</w:t>
      </w:r>
    </w:p>
    <w:p>
      <w:pPr>
        <w:spacing w:before="120"/>
        <w:ind w:firstLine="720"/>
        <w:jc w:val="both"/>
        <w:rPr>
          <w:sz w:val="28"/>
          <w:szCs w:val="28"/>
          <w:lang w:val="nb-NO" w:bidi="vi-VN"/>
        </w:rPr>
      </w:pPr>
      <w:r>
        <w:rPr>
          <w:sz w:val="28"/>
          <w:szCs w:val="28"/>
          <w:lang w:val="nb-NO" w:bidi="vi-VN"/>
        </w:rPr>
        <w:t>- Nghị định số 111/2025/NĐ-CP của Chính phủ sửa đổi, bổ sung một số điều của Nghị định số 60/2021/NĐ-CP quy định cơ chế tự chủ tài chính của đơn vị sự nghiệp công lập;</w:t>
      </w:r>
    </w:p>
    <w:p>
      <w:pPr>
        <w:pStyle w:val="Mcnidung"/>
        <w:spacing w:before="120" w:after="0" w:line="240" w:lineRule="auto"/>
        <w:ind w:firstLine="720"/>
      </w:pPr>
      <w:r>
        <w:rPr>
          <w:lang w:val="nb-NO"/>
        </w:rPr>
        <w:t xml:space="preserve">- </w:t>
      </w:r>
      <w:r>
        <w:rPr>
          <w:lang w:val="vi-VN"/>
        </w:rPr>
        <w:t>Thông tư liên tịch số 53/2015/TTLT-BTNMT-BNV ngày 08 tháng 12 năm 2015 của liên bộ Bộ Tài nguyên và Môi trường và Bộ Nội vụ quy định mã số và tiêu chuẩn chức danh nghề nghiệp viên chức chuyên ngành điều tra tài nguyên môi trường</w:t>
      </w:r>
      <w:r>
        <w:t>;</w:t>
      </w:r>
    </w:p>
    <w:p>
      <w:pPr>
        <w:pStyle w:val="Mcnidung"/>
        <w:spacing w:before="120" w:after="0" w:line="240" w:lineRule="auto"/>
        <w:ind w:firstLine="720"/>
      </w:pPr>
      <w:r>
        <w:t>- T</w:t>
      </w:r>
      <w:r>
        <w:rPr>
          <w:lang w:val="vi-VN"/>
        </w:rPr>
        <w:t xml:space="preserve">hông tư số 16/2021/TT-BTNMT của Bộ trưởng Bộ Tài nguyên và Môi trường quy định xây dựng định mức kinh tế </w:t>
      </w:r>
      <w:r>
        <w:t>-</w:t>
      </w:r>
      <w:r>
        <w:rPr>
          <w:lang w:val="vi-VN"/>
        </w:rPr>
        <w:t xml:space="preserve"> kỹ thuật thuộc phạm vi quản lý nhà nước của Bộ Tài nguyên và Môi trường</w:t>
      </w:r>
      <w:r>
        <w:t>;</w:t>
      </w:r>
    </w:p>
    <w:p>
      <w:pPr>
        <w:pStyle w:val="Mcnidung"/>
        <w:spacing w:before="120" w:after="0" w:line="240" w:lineRule="auto"/>
        <w:ind w:firstLine="720"/>
      </w:pPr>
      <w:r>
        <w:t>- T</w:t>
      </w:r>
      <w:r>
        <w:rPr>
          <w:lang w:val="vi-VN"/>
        </w:rPr>
        <w:t>hông tư số 12/2022/TT-BTNMT của Bộ trưởng Bộ Tài nguyên và Môi trường sửa đổi, bổ sung một số quy định về tiêu chuẩn chức danh nghề nghiệp viên chức ngành tài nguyên và môi trường</w:t>
      </w:r>
      <w:r>
        <w:t>;</w:t>
      </w:r>
    </w:p>
    <w:p>
      <w:pPr>
        <w:spacing w:before="120"/>
        <w:ind w:firstLine="720"/>
        <w:jc w:val="both"/>
        <w:rPr>
          <w:sz w:val="28"/>
          <w:szCs w:val="28"/>
          <w:lang w:val="pt-BR" w:bidi="vi-VN"/>
        </w:rPr>
      </w:pPr>
      <w:r>
        <w:rPr>
          <w:sz w:val="28"/>
          <w:szCs w:val="28"/>
          <w:lang w:val="pt-BR" w:bidi="vi-VN"/>
        </w:rPr>
        <w:t>- Thông tư số 23/2024/TT-BTNMT của Bộ trưởng Bộ Tài nguyên và Môi trường quy định kỹ thuật lập hành lang bảo vệ nguồn nước;</w:t>
      </w:r>
    </w:p>
    <w:p>
      <w:pPr>
        <w:pStyle w:val="NormalWeb"/>
        <w:spacing w:before="120" w:beforeAutospacing="0" w:after="0" w:afterAutospacing="0"/>
        <w:ind w:firstLine="720"/>
        <w:jc w:val="both"/>
        <w:rPr>
          <w:sz w:val="28"/>
          <w:szCs w:val="28"/>
          <w:lang w:val="nb-NO"/>
        </w:rPr>
      </w:pPr>
      <w:r>
        <w:rPr>
          <w:sz w:val="28"/>
          <w:szCs w:val="28"/>
          <w:lang w:val="nb-NO"/>
        </w:rPr>
        <w:t>- Thông tư số 141/2025/TT-BTC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pPr>
        <w:pStyle w:val="NormalWeb"/>
        <w:spacing w:before="120" w:beforeAutospacing="0" w:after="0" w:afterAutospacing="0"/>
        <w:ind w:firstLine="720"/>
        <w:jc w:val="both"/>
        <w:rPr>
          <w:b/>
          <w:sz w:val="28"/>
          <w:szCs w:val="28"/>
          <w:lang w:val="nb-NO"/>
        </w:rPr>
      </w:pPr>
      <w:r>
        <w:rPr>
          <w:b/>
          <w:sz w:val="28"/>
          <w:szCs w:val="28"/>
          <w:lang w:val="nb-NO"/>
        </w:rPr>
        <w:t>2. Cơ sở thực tiễn</w:t>
      </w:r>
    </w:p>
    <w:p>
      <w:pPr>
        <w:spacing w:after="40"/>
        <w:ind w:firstLine="720"/>
        <w:jc w:val="both"/>
        <w:rPr>
          <w:sz w:val="28"/>
          <w:szCs w:val="28"/>
          <w:lang w:val="nb-NO"/>
        </w:rPr>
      </w:pPr>
      <w:r>
        <w:rPr>
          <w:bCs/>
          <w:sz w:val="28"/>
          <w:szCs w:val="28"/>
          <w:lang w:val="nb-NO"/>
        </w:rPr>
        <w:t xml:space="preserve">Trước đây, thực hiện </w:t>
      </w:r>
      <w:r>
        <w:rPr>
          <w:sz w:val="28"/>
          <w:szCs w:val="28"/>
          <w:lang w:val="nb-NO"/>
        </w:rPr>
        <w:t xml:space="preserve">Luật Tài nguyên nước số 17/2012/QH13; Nghị định số 43/2015/NĐ-CP của Chính phủ quy định lập, quản lý hành lang bảo vệ nguồn nước; hướng dẫn của Cục Quản lý tài nguyên nước - Bộ Tài nguyên và Môi trường tại Văn bản số 687/TNN-KHTC ngày 21/3/2024 về việc áp dụng, vận dụng các quy định của Bộ Tài nguyên và Môi trường trong xây dựng dự toán kinh phí thực hiện các nhiệm vụ điều tra cơ bản tài nguyên nước trên địa bàn tỉnh Hà Tĩnh, </w:t>
      </w:r>
      <w:r>
        <w:rPr>
          <w:spacing w:val="-2"/>
          <w:sz w:val="28"/>
          <w:szCs w:val="28"/>
          <w:lang w:val="nb-NO"/>
        </w:rPr>
        <w:t xml:space="preserve">Sở Tài nguyên và Môi trường (nay là Sở Nông Nghiệp và Môi trường) đã xây dựng đề cương nhiệm vụ và dự toán kinh phí thực hiện </w:t>
      </w:r>
      <w:r>
        <w:rPr>
          <w:sz w:val="28"/>
          <w:szCs w:val="28"/>
          <w:lang w:val="nb-NO"/>
        </w:rPr>
        <w:t xml:space="preserve">nhiệm vụ </w:t>
      </w:r>
      <w:r>
        <w:rPr>
          <w:spacing w:val="-2"/>
          <w:sz w:val="28"/>
          <w:szCs w:val="28"/>
          <w:lang w:val="nb-NO"/>
        </w:rPr>
        <w:t>Điều tra, rà soát, lập Danh mục các nguồn nước phải lập hành lang bảo vệ trên địa bàn tỉnh Hà Tĩnh. Đồng thời, Sở đã lấy ý kiến thẩm định của Sở Tài chính về dự toán kinh phí thực hiện nhiệm vụ và trình UBND tỉnh xem xét, phê duyệt</w:t>
      </w:r>
      <w:r>
        <w:rPr>
          <w:sz w:val="28"/>
          <w:szCs w:val="28"/>
          <w:lang w:val="nb-NO"/>
        </w:rPr>
        <w:t xml:space="preserve"> </w:t>
      </w:r>
      <w:r>
        <w:rPr>
          <w:spacing w:val="-2"/>
          <w:sz w:val="28"/>
          <w:szCs w:val="28"/>
          <w:lang w:val="nb-NO"/>
        </w:rPr>
        <w:t>Đề cương nhiệm vụ và dự toán kinh phí</w:t>
      </w:r>
      <w:r>
        <w:rPr>
          <w:sz w:val="28"/>
          <w:szCs w:val="28"/>
          <w:lang w:val="nb-NO"/>
        </w:rPr>
        <w:t xml:space="preserve"> thực hiện nhiệm vụ </w:t>
      </w:r>
      <w:r>
        <w:rPr>
          <w:spacing w:val="-2"/>
          <w:sz w:val="28"/>
          <w:szCs w:val="28"/>
          <w:lang w:val="nb-NO"/>
        </w:rPr>
        <w:t>tại Tờ trình số 1892/TTr-STNMT ngày 04/5/2024</w:t>
      </w:r>
      <w:r>
        <w:rPr>
          <w:sz w:val="28"/>
          <w:szCs w:val="28"/>
          <w:lang w:val="nb-NO"/>
        </w:rPr>
        <w:t xml:space="preserve">, trong đó việc xây dựng dự toán kinh phí đối với </w:t>
      </w:r>
      <w:r>
        <w:rPr>
          <w:spacing w:val="-2"/>
          <w:sz w:val="28"/>
          <w:szCs w:val="28"/>
          <w:lang w:val="nb-NO"/>
        </w:rPr>
        <w:t>nhiệm vụ nêu trên áp dụng Thông tư số 30/2017/TT-BTNMT ngày 11/9/2017 của Bộ Tài nguyên và Môi trường về việc ban hành định mức kinh tế - kỹ thuật điều tra, đánh giá tài nguyên nước</w:t>
      </w:r>
      <w:r>
        <w:rPr>
          <w:sz w:val="28"/>
          <w:szCs w:val="28"/>
          <w:lang w:val="nb-NO"/>
        </w:rPr>
        <w:t xml:space="preserve">. </w:t>
      </w:r>
    </w:p>
    <w:p>
      <w:pPr>
        <w:spacing w:after="40"/>
        <w:ind w:firstLine="720"/>
        <w:jc w:val="both"/>
        <w:rPr>
          <w:bCs/>
          <w:sz w:val="28"/>
          <w:szCs w:val="28"/>
          <w:lang w:val="nb-NO"/>
        </w:rPr>
      </w:pPr>
      <w:r>
        <w:rPr>
          <w:sz w:val="28"/>
          <w:szCs w:val="28"/>
          <w:lang w:val="nb-NO"/>
        </w:rPr>
        <w:lastRenderedPageBreak/>
        <w:t xml:space="preserve">Từ ngày 01/7/2024, Luật Tài nguyên nước </w:t>
      </w:r>
      <w:r>
        <w:rPr>
          <w:bCs/>
          <w:sz w:val="28"/>
          <w:szCs w:val="28"/>
          <w:lang w:val="nb-NO"/>
        </w:rPr>
        <w:t xml:space="preserve">số 28/2023/QH15 </w:t>
      </w:r>
      <w:r>
        <w:rPr>
          <w:sz w:val="28"/>
          <w:szCs w:val="28"/>
          <w:lang w:val="nb-NO"/>
        </w:rPr>
        <w:t>có hiệu thi hành, trong đó có nhiều quy định mới về lập, quản lý hành lang bảo vệ nguồn nước. Để hướng dẫn thực hiện, Bộ trưởng Bộ Tài nguyên và Môi trường đã ban hành Thông tư số 23/2024/TT-BTNMT quy định kỹ thuật lập hành lang bảo vệ nguồn nước (có hiệu lực từ ngày 10/01/2025) và có Văn bản số 8875/BTNMT-TNN ngày 17/12/2024 gửi Ủy ban nhân dân các tỉnh, thành phố trực thuộc Trung ương về việc ban hành định mức kinh tế kỹ thuật lập hành lang bảo vệ nguồn nước tại địa phương, trong đó có nội dung đề nghị: “</w:t>
      </w:r>
      <w:r>
        <w:rPr>
          <w:i/>
          <w:sz w:val="28"/>
          <w:szCs w:val="28"/>
          <w:lang w:val="nb-NO"/>
        </w:rPr>
        <w:t>Khẩn trương tham mưu ban hành định mức kinh tế - kỹ thuật, định mức chi phí (nếu có), đơn giá sản phẩm về việc lập, quản lý hành lang bảo vệ nguồn nước để áp dụng trên địa bàn</w:t>
      </w:r>
      <w:r>
        <w:rPr>
          <w:sz w:val="28"/>
          <w:szCs w:val="28"/>
          <w:lang w:val="nb-NO"/>
        </w:rPr>
        <w:t xml:space="preserve">”. </w:t>
      </w:r>
      <w:r>
        <w:rPr>
          <w:bCs/>
          <w:sz w:val="28"/>
          <w:szCs w:val="28"/>
          <w:lang w:val="nb-NO"/>
        </w:rPr>
        <w:t xml:space="preserve">Đồng thời, theo quy định tại điểm b khoản 2 Điều 26 Nghị định số 32/2019/NĐ-CP  của Chính phủ (được sửa đổi, bổ sung tại khoản 2 Điều 3 Nghị định số 111/2025/NĐ-CP của Chính phủ) về việc quy định giao nhiệm vụ, đặt hàng  hoặc đấu thầu cung cấp sản phẩm, dịch vụ công sử dụng ngân sách nhà nước từ nguồn kinh phí chi thường xuyên, thì UBND cấp tỉnh có trách nhiệm ban hành  định mức kinh tế - kỹ thuật áp dụng đối với sản phẩm, dịch vụ công làm cơ sở xây dựng, ban hành đơn giá, giá sản phẩm dịch vụ công theo quy định. </w:t>
      </w:r>
    </w:p>
    <w:p>
      <w:pPr>
        <w:spacing w:after="40"/>
        <w:ind w:firstLine="720"/>
        <w:jc w:val="both"/>
        <w:rPr>
          <w:spacing w:val="-4"/>
          <w:sz w:val="28"/>
          <w:szCs w:val="28"/>
          <w:lang w:val="nb-NO"/>
        </w:rPr>
      </w:pPr>
      <w:r>
        <w:rPr>
          <w:spacing w:val="-4"/>
          <w:sz w:val="28"/>
          <w:szCs w:val="28"/>
          <w:lang w:val="nb-NO"/>
        </w:rPr>
        <w:t xml:space="preserve">Do đó, việc áp dụng Thông tư số 30/2017/TT-BTNMT không còn phù hợp để làm cơ sở triển khai nhiệm vụ lập hành lang bảo vệ nguồn nước theo các quy định mới của Luật Tài nguyên nước </w:t>
      </w:r>
      <w:r>
        <w:rPr>
          <w:bCs/>
          <w:sz w:val="28"/>
          <w:szCs w:val="28"/>
          <w:lang w:val="nb-NO"/>
        </w:rPr>
        <w:t xml:space="preserve">số 28/2023/QH15 </w:t>
      </w:r>
      <w:r>
        <w:rPr>
          <w:spacing w:val="-4"/>
          <w:sz w:val="28"/>
          <w:szCs w:val="28"/>
          <w:lang w:val="nb-NO"/>
        </w:rPr>
        <w:t>và Thông tư số 23/2024/TT-BTNMT. Việc xây dựng, tham mưu UBND tỉnh ban hành định mức kinh tế - kỹ thuật lập hành lang bảo vệ nguồn nước áp dụng trên địa bàn tỉnh Hà Tĩnh là cần thiết, làm cơ sở xác định khối lượng, xây dựng dự toán, đơn giá và tổ chức thực hiện nhiệm vụ điều tra, rà soát, lập Danh mục các nguồn nước phải lập hành lang bảo vệ và cắm mốc hành lang bảo vệ nguồn nước theo quy định.</w:t>
      </w:r>
    </w:p>
    <w:p>
      <w:pPr>
        <w:pStyle w:val="NormalWeb"/>
        <w:spacing w:before="120" w:beforeAutospacing="0" w:after="0" w:afterAutospacing="0"/>
        <w:ind w:firstLine="720"/>
        <w:jc w:val="both"/>
        <w:rPr>
          <w:b/>
          <w:sz w:val="28"/>
          <w:szCs w:val="28"/>
          <w:lang w:val="nb-NO"/>
        </w:rPr>
      </w:pPr>
      <w:r>
        <w:rPr>
          <w:b/>
          <w:sz w:val="28"/>
          <w:szCs w:val="28"/>
          <w:lang w:val="nb-NO"/>
        </w:rPr>
        <w:t xml:space="preserve">II. MỤC ĐÍCH BAN HÀNH, QUAN ĐIỂM CHỈ ĐẠO VIỆC XÂY DỰNG  DỰ THẢO VĂN BẢN </w:t>
      </w:r>
    </w:p>
    <w:p>
      <w:pPr>
        <w:pStyle w:val="NormalWeb"/>
        <w:spacing w:before="120" w:beforeAutospacing="0" w:after="0" w:afterAutospacing="0"/>
        <w:ind w:firstLine="720"/>
        <w:jc w:val="both"/>
        <w:rPr>
          <w:b/>
          <w:sz w:val="28"/>
          <w:szCs w:val="28"/>
          <w:lang w:val="nb-NO"/>
        </w:rPr>
      </w:pPr>
      <w:r>
        <w:rPr>
          <w:b/>
          <w:sz w:val="28"/>
          <w:szCs w:val="28"/>
          <w:lang w:val="nb-NO"/>
        </w:rPr>
        <w:t xml:space="preserve">1. Mục đích ban hành văn bản </w:t>
      </w:r>
    </w:p>
    <w:p>
      <w:pPr>
        <w:pStyle w:val="NormalWeb"/>
        <w:spacing w:before="120" w:beforeAutospacing="0" w:after="0" w:afterAutospacing="0"/>
        <w:ind w:firstLine="720"/>
        <w:jc w:val="both"/>
        <w:rPr>
          <w:bCs/>
          <w:sz w:val="28"/>
          <w:szCs w:val="28"/>
          <w:lang w:val="nb-NO"/>
        </w:rPr>
      </w:pPr>
      <w:r>
        <w:rPr>
          <w:bCs/>
          <w:sz w:val="28"/>
          <w:szCs w:val="28"/>
          <w:lang w:val="nb-NO"/>
        </w:rPr>
        <w:t xml:space="preserve">Việc ban hành Quyết định này nhằm thực hiện trách nhiệm của UBND cấp tỉnh theo thẩm quyền được giao trong </w:t>
      </w:r>
      <w:r>
        <w:rPr>
          <w:sz w:val="28"/>
          <w:szCs w:val="28"/>
          <w:lang w:val="nb-NO"/>
        </w:rPr>
        <w:t xml:space="preserve">Luật Tài nguyên nước </w:t>
      </w:r>
      <w:r>
        <w:rPr>
          <w:bCs/>
          <w:sz w:val="28"/>
          <w:szCs w:val="28"/>
          <w:lang w:val="nb-NO"/>
        </w:rPr>
        <w:t xml:space="preserve">số 28/2023/QH15, Nghị định số  32/2019/NĐ-CP và Nghị định số 111/2025/NĐ-CP của Chính phủ; đồng thời làm cơ sở xác định khối lượng, chi phí, xây dựng đơn giá, giá sản phẩm, dịch vụ công đối với hoạt động lập hành lang bảo vệ nguồn nước trên địa bàn tỉnh Hà Tĩnh theo quy định. </w:t>
      </w:r>
    </w:p>
    <w:p>
      <w:pPr>
        <w:pStyle w:val="NormalWeb"/>
        <w:spacing w:before="120" w:beforeAutospacing="0" w:after="0" w:afterAutospacing="0"/>
        <w:ind w:firstLine="720"/>
        <w:jc w:val="both"/>
        <w:rPr>
          <w:b/>
          <w:sz w:val="28"/>
          <w:szCs w:val="28"/>
          <w:lang w:val="nb-NO"/>
        </w:rPr>
      </w:pPr>
      <w:r>
        <w:rPr>
          <w:b/>
          <w:sz w:val="28"/>
          <w:szCs w:val="28"/>
          <w:lang w:val="nb-NO"/>
        </w:rPr>
        <w:t xml:space="preserve">2. Quan điểm xây dựng dự thảo văn bản </w:t>
      </w:r>
    </w:p>
    <w:p>
      <w:pPr>
        <w:pStyle w:val="NormalWeb"/>
        <w:spacing w:before="120" w:beforeAutospacing="0" w:after="0" w:afterAutospacing="0"/>
        <w:ind w:firstLine="720"/>
        <w:jc w:val="both"/>
        <w:rPr>
          <w:bCs/>
          <w:sz w:val="28"/>
          <w:szCs w:val="28"/>
          <w:lang w:val="nb-NO"/>
        </w:rPr>
      </w:pPr>
      <w:r>
        <w:rPr>
          <w:bCs/>
          <w:sz w:val="28"/>
          <w:szCs w:val="28"/>
          <w:lang w:val="nb-NO"/>
        </w:rPr>
        <w:t xml:space="preserve">- Ban hành 01 quyết định mới đầy đủ cơ sở pháp lý để tổ chức thực hiện. </w:t>
      </w:r>
    </w:p>
    <w:p>
      <w:pPr>
        <w:pStyle w:val="NormalWeb"/>
        <w:spacing w:before="120" w:beforeAutospacing="0" w:after="0" w:afterAutospacing="0"/>
        <w:ind w:firstLine="720"/>
        <w:jc w:val="both"/>
        <w:rPr>
          <w:bCs/>
          <w:sz w:val="28"/>
          <w:szCs w:val="28"/>
          <w:lang w:val="nb-NO"/>
        </w:rPr>
      </w:pPr>
      <w:r>
        <w:rPr>
          <w:bCs/>
          <w:sz w:val="28"/>
          <w:szCs w:val="28"/>
          <w:lang w:val="nb-NO"/>
        </w:rPr>
        <w:t xml:space="preserve">- Tạo điều kiện thuận lợi cho cơ quan quản lý nhà nước về tài nguyên nước, tổ  chức, cá nhân tham gia các hoạt động liên quan đến lập hành lang bảo vệ nguồn nước trên địa bàn tỉnh Hà Tĩnh không trái với quy định  của pháp luật hiện hành. </w:t>
      </w:r>
    </w:p>
    <w:p>
      <w:pPr>
        <w:pStyle w:val="NormalWeb"/>
        <w:spacing w:before="0" w:beforeAutospacing="0" w:after="120" w:afterAutospacing="0"/>
        <w:ind w:firstLine="720"/>
        <w:jc w:val="both"/>
        <w:rPr>
          <w:b/>
          <w:sz w:val="28"/>
          <w:szCs w:val="28"/>
          <w:lang w:val="nb-NO"/>
        </w:rPr>
      </w:pPr>
      <w:r>
        <w:rPr>
          <w:b/>
          <w:sz w:val="28"/>
          <w:szCs w:val="28"/>
          <w:lang w:val="nb-NO"/>
        </w:rPr>
        <w:t xml:space="preserve">III. QUÁ TRÌNH XÂY DỰNG DỰ THẢO VĂN BẢN </w:t>
      </w:r>
    </w:p>
    <w:p>
      <w:pPr>
        <w:pStyle w:val="NormalWeb"/>
        <w:spacing w:before="0" w:beforeAutospacing="0" w:after="120" w:afterAutospacing="0"/>
        <w:ind w:firstLine="720"/>
        <w:jc w:val="both"/>
        <w:rPr>
          <w:bCs/>
          <w:sz w:val="28"/>
          <w:szCs w:val="28"/>
          <w:lang w:val="nb-NO"/>
        </w:rPr>
      </w:pPr>
      <w:r>
        <w:rPr>
          <w:bCs/>
          <w:sz w:val="28"/>
          <w:szCs w:val="28"/>
          <w:lang w:val="nb-NO"/>
        </w:rPr>
        <w:lastRenderedPageBreak/>
        <w:t>- Ngày 17/12/2024, Bộ Tài nguyên và Môi trường (nay là Bộ Nông nghiệp và Môi trường) có Văn bản số 8875/BTNMT-TNN về việc ban hành định mức kinh tế kỹ thuật lập hành lang bảo vệ nguồn nước tại địa phương; trong đó đề nghị Ủy ban nhân dân các tỉnh, thành phố trực thuộc Trung ương chỉ đạo các đơn vị có liên quan</w:t>
      </w:r>
      <w:r>
        <w:rPr>
          <w:sz w:val="28"/>
          <w:szCs w:val="28"/>
          <w:lang w:val="nb-NO"/>
        </w:rPr>
        <w:t xml:space="preserve"> </w:t>
      </w:r>
      <w:r>
        <w:rPr>
          <w:bCs/>
          <w:sz w:val="28"/>
          <w:szCs w:val="28"/>
          <w:lang w:val="nb-NO"/>
        </w:rPr>
        <w:t>khẩn trương tham mưu ban hành định mức kinh tế - kỹ thuật, định mức chi phí (nếu có), đơn giá sản phẩm về việc lập, quản lý hành lang bảo vệ nguồn nước để áp dụng trên địa bàn. Việc xây dựng định mức kinh tế - kỹ thuật, định mức chi phí (nếu có), đơn giá sản phẩm thực hiện theo quy định tại Nghị định số 32/2019/NĐ-CP của Chính phủ quy định giao nhiệm vụ, đặt hàng hoặc đấu thầu cung cấp sản phẩm, dịch vụ công sử dụng ngân sách nhà nước từ nguồn kinh phí chi thường xuyên và chỉ đạo của Thủ tướng Chính phủ tại Văn bản số 9652/VPCP-KTTH ngày 18/11/2020 của Văn phòng Chính phủ về việc triển khai thực hiện Nghị định số 32/2019/NĐ-CP; hướng dẫn của Bộ Tài chính tại Văn bản số 13257/BTC-HCSN ngày 22/11/2021 về việc hướng dẫn thực hiện Nghị định số 32/2019/NĐ-CP của Chính phủ (trong đó thẩm quyền ban hành văn bản theo quy định tại khoản 2 Điều 26 Nghị định số 32/2019/NĐ-CP).</w:t>
      </w:r>
    </w:p>
    <w:p>
      <w:pPr>
        <w:pStyle w:val="NormalWeb"/>
        <w:spacing w:before="0" w:beforeAutospacing="0" w:after="120" w:afterAutospacing="0"/>
        <w:ind w:firstLine="720"/>
        <w:jc w:val="both"/>
        <w:rPr>
          <w:bCs/>
          <w:sz w:val="28"/>
          <w:szCs w:val="28"/>
          <w:lang w:val="nb-NO"/>
        </w:rPr>
      </w:pPr>
      <w:r>
        <w:rPr>
          <w:bCs/>
          <w:sz w:val="28"/>
          <w:szCs w:val="28"/>
          <w:lang w:val="nb-NO"/>
        </w:rPr>
        <w:t xml:space="preserve">- Ngày 23/12/2024, UBND tỉnh có Văn bản số </w:t>
      </w:r>
      <w:r>
        <w:rPr>
          <w:spacing w:val="-2"/>
          <w:sz w:val="28"/>
          <w:szCs w:val="28"/>
          <w:lang w:val="nb-NO"/>
        </w:rPr>
        <w:t>7857/UBND-NL</w:t>
      </w:r>
      <w:r>
        <w:rPr>
          <w:spacing w:val="-2"/>
          <w:sz w:val="28"/>
          <w:szCs w:val="28"/>
          <w:vertAlign w:val="subscript"/>
          <w:lang w:val="nb-NO"/>
        </w:rPr>
        <w:t>5</w:t>
      </w:r>
      <w:r>
        <w:rPr>
          <w:spacing w:val="-2"/>
          <w:sz w:val="28"/>
          <w:szCs w:val="28"/>
          <w:lang w:val="nb-NO"/>
        </w:rPr>
        <w:t xml:space="preserve"> về việc ban hành định mức kinh tế kỹ thuật lập hành lang bảo vệ nguồn nước, trong đó giao Sở Tài nguyên và Môi trường (</w:t>
      </w:r>
      <w:r>
        <w:rPr>
          <w:bCs/>
          <w:sz w:val="28"/>
          <w:szCs w:val="28"/>
          <w:lang w:val="nb-NO"/>
        </w:rPr>
        <w:t>nay là Sở Nông nghiệp và Môi trường)</w:t>
      </w:r>
      <w:r>
        <w:rPr>
          <w:spacing w:val="-2"/>
          <w:sz w:val="28"/>
          <w:szCs w:val="28"/>
          <w:lang w:val="nb-NO"/>
        </w:rPr>
        <w:t xml:space="preserve"> chủ trì, phối hợp với Sở Tài chính, Sở Xây dựng, UBND các huyện, thành phố, thị xã và các đơn vị liên quan theo chức năng, nhiệm vụ soát xét, triển khai thực hiện các nội dung theo chỉ đạo, hướng dẫn của Bộ Tài nguyên và Môi trường tại Văn bản số </w:t>
      </w:r>
      <w:r>
        <w:rPr>
          <w:bCs/>
          <w:sz w:val="28"/>
          <w:szCs w:val="28"/>
          <w:lang w:val="nb-NO"/>
        </w:rPr>
        <w:t>8875/BTNMT-TNN.</w:t>
      </w:r>
    </w:p>
    <w:p>
      <w:pPr>
        <w:pStyle w:val="NormalWeb"/>
        <w:spacing w:before="0" w:beforeAutospacing="0" w:after="120" w:afterAutospacing="0"/>
        <w:ind w:firstLine="720"/>
        <w:jc w:val="both"/>
        <w:rPr>
          <w:bCs/>
          <w:sz w:val="28"/>
          <w:szCs w:val="28"/>
          <w:lang w:val="nb-NO"/>
        </w:rPr>
      </w:pPr>
      <w:r>
        <w:rPr>
          <w:bCs/>
          <w:sz w:val="28"/>
          <w:szCs w:val="28"/>
          <w:lang w:val="nb-NO"/>
        </w:rPr>
        <w:t>- Ngày 20/01/2025,</w:t>
      </w:r>
      <w:r>
        <w:rPr>
          <w:spacing w:val="-2"/>
          <w:sz w:val="28"/>
          <w:szCs w:val="28"/>
          <w:lang w:val="nb-NO"/>
        </w:rPr>
        <w:t xml:space="preserve"> Sở Tài nguyên và Môi trường (</w:t>
      </w:r>
      <w:r>
        <w:rPr>
          <w:bCs/>
          <w:sz w:val="28"/>
          <w:szCs w:val="28"/>
          <w:lang w:val="nb-NO"/>
        </w:rPr>
        <w:t>nay là Sở Nông nghiệp và Môi trường) có Văn bản số 318/STNMT-TNN&amp;BĐ về việc xin chủ trương xây dựng Quyết định quy phạm pháp luật về định mức kinh tế kỹ thuật lập hành lang bảo vệ nguồn nước trên địa bàn tỉnh Hà Tĩnh.</w:t>
      </w:r>
    </w:p>
    <w:p>
      <w:pPr>
        <w:pStyle w:val="NormalWeb"/>
        <w:spacing w:before="0" w:beforeAutospacing="0" w:after="120" w:afterAutospacing="0"/>
        <w:ind w:firstLine="720"/>
        <w:jc w:val="both"/>
        <w:rPr>
          <w:rFonts w:eastAsia="Times New Roman"/>
          <w:sz w:val="28"/>
          <w:szCs w:val="28"/>
          <w:lang w:val="nb-NO"/>
        </w:rPr>
      </w:pPr>
      <w:r>
        <w:rPr>
          <w:bCs/>
          <w:sz w:val="28"/>
          <w:szCs w:val="28"/>
          <w:lang w:val="nb-NO"/>
        </w:rPr>
        <w:t xml:space="preserve">- Ngày 12/02/2025, </w:t>
      </w:r>
      <w:r>
        <w:rPr>
          <w:rFonts w:eastAsia="Times New Roman"/>
          <w:sz w:val="28"/>
          <w:szCs w:val="28"/>
          <w:lang w:val="nb-NO"/>
        </w:rPr>
        <w:t xml:space="preserve">Văn phòng UBND tỉnh có </w:t>
      </w:r>
      <w:r>
        <w:rPr>
          <w:bCs/>
          <w:sz w:val="28"/>
          <w:szCs w:val="28"/>
          <w:lang w:val="nb-NO"/>
        </w:rPr>
        <w:t xml:space="preserve">Văn bản số </w:t>
      </w:r>
      <w:r>
        <w:rPr>
          <w:rFonts w:eastAsia="Times New Roman"/>
          <w:sz w:val="28"/>
          <w:szCs w:val="28"/>
          <w:lang w:val="nb-NO"/>
        </w:rPr>
        <w:t>93/VP-UBNL</w:t>
      </w:r>
      <w:r>
        <w:rPr>
          <w:rFonts w:eastAsia="Times New Roman"/>
          <w:sz w:val="28"/>
          <w:szCs w:val="28"/>
          <w:vertAlign w:val="subscript"/>
          <w:lang w:val="nb-NO"/>
        </w:rPr>
        <w:t>5</w:t>
      </w:r>
      <w:r>
        <w:rPr>
          <w:rFonts w:eastAsia="Times New Roman"/>
          <w:sz w:val="28"/>
          <w:szCs w:val="28"/>
          <w:lang w:val="nb-NO"/>
        </w:rPr>
        <w:t xml:space="preserve"> về chủ trương xây dựng Quyết định ban hành Định mức kinh tế - kỹ thuật lập hành lang bảo vệ nguồn nước trên địa bàn tỉnh Hà Tĩnh, trong đó:</w:t>
      </w:r>
      <w:r>
        <w:rPr>
          <w:sz w:val="28"/>
          <w:szCs w:val="28"/>
          <w:lang w:val="nb-NO"/>
        </w:rPr>
        <w:t xml:space="preserve"> </w:t>
      </w:r>
      <w:r>
        <w:rPr>
          <w:rFonts w:eastAsia="Times New Roman"/>
          <w:sz w:val="28"/>
          <w:szCs w:val="28"/>
          <w:lang w:val="nb-NO"/>
        </w:rPr>
        <w:t>Thực hiện quy định tại khoản 3 Điều 127 Luật Ban hành văn bản quy phạm pháp luật năm 2015, Văn phòng UBND tỉnh đã có Văn bản số 74/VPUB-NL</w:t>
      </w:r>
      <w:r>
        <w:rPr>
          <w:rFonts w:eastAsia="Times New Roman"/>
          <w:sz w:val="28"/>
          <w:szCs w:val="28"/>
          <w:vertAlign w:val="subscript"/>
          <w:lang w:val="nb-NO"/>
        </w:rPr>
        <w:t>5</w:t>
      </w:r>
      <w:r>
        <w:rPr>
          <w:rFonts w:eastAsia="Times New Roman"/>
          <w:sz w:val="28"/>
          <w:szCs w:val="28"/>
          <w:lang w:val="nb-NO"/>
        </w:rPr>
        <w:t xml:space="preserve"> ngày 06/02/2025 lấy ý kiến Sở Tư pháp về chủ trương xây dựng Quyết định nêu trên. Ngày 11/02/2025, Sở Tư pháp có Văn bản số 342/STP-XDKT&amp;TDTHPL đề nghị Văn phòng UBND tỉnh chỉ tham mưu trình Chủ tịch UBND tỉnh đồng ý chủ trương xây dựng Quyết định quy phạm pháp luật về định mức kinh tế kỹ thuật lập hành lang bảo vệ nguồn nước trên địa bàn tỉnh theo quy định.</w:t>
      </w:r>
    </w:p>
    <w:p>
      <w:pPr>
        <w:pStyle w:val="NormalWeb"/>
        <w:spacing w:before="0" w:beforeAutospacing="0" w:after="120" w:afterAutospacing="0"/>
        <w:ind w:firstLine="720"/>
        <w:jc w:val="both"/>
        <w:rPr>
          <w:rFonts w:eastAsia="Times New Roman"/>
          <w:sz w:val="28"/>
          <w:szCs w:val="28"/>
          <w:lang w:val="nb-NO"/>
        </w:rPr>
      </w:pPr>
      <w:r>
        <w:rPr>
          <w:bCs/>
          <w:sz w:val="28"/>
          <w:szCs w:val="28"/>
          <w:lang w:val="nb-NO"/>
        </w:rPr>
        <w:t xml:space="preserve">- Ngày 19/02/2025, UBND tỉnh có Văn bản số </w:t>
      </w:r>
      <w:r>
        <w:rPr>
          <w:spacing w:val="-2"/>
          <w:sz w:val="28"/>
          <w:szCs w:val="28"/>
          <w:lang w:val="nb-NO"/>
        </w:rPr>
        <w:t>890/UBND-NL</w:t>
      </w:r>
      <w:r>
        <w:rPr>
          <w:spacing w:val="-2"/>
          <w:sz w:val="28"/>
          <w:szCs w:val="28"/>
          <w:vertAlign w:val="subscript"/>
          <w:lang w:val="nb-NO"/>
        </w:rPr>
        <w:t>5</w:t>
      </w:r>
      <w:r>
        <w:rPr>
          <w:sz w:val="28"/>
          <w:szCs w:val="28"/>
          <w:lang w:val="nb-NO"/>
        </w:rPr>
        <w:t xml:space="preserve"> về chủ trương xây dựng Quyết định ban hành Định mức kinh tế - kỹ thuật lập hành lang bảo vệ nguồn nước trên địa bàn tỉnh Hà Tĩnh, trong đó </w:t>
      </w:r>
      <w:r>
        <w:rPr>
          <w:rFonts w:eastAsia="Times New Roman"/>
          <w:sz w:val="28"/>
          <w:szCs w:val="28"/>
          <w:lang w:val="nb-NO"/>
        </w:rPr>
        <w:t>đồng ý chủ trương xây dựng Quyết định của UBND tỉnh về ban hành định mức kinh tế kỹ thuật lập hành lang bảo vệ nguồn nước trên địa bàn tỉnh Hà Tĩnh.</w:t>
      </w:r>
    </w:p>
    <w:p>
      <w:pPr>
        <w:pStyle w:val="NormalWeb"/>
        <w:spacing w:before="0" w:beforeAutospacing="0" w:after="120" w:afterAutospacing="0"/>
        <w:ind w:firstLine="720"/>
        <w:jc w:val="both"/>
        <w:rPr>
          <w:sz w:val="28"/>
          <w:szCs w:val="28"/>
          <w:lang w:val="nb-NO"/>
        </w:rPr>
      </w:pPr>
      <w:r>
        <w:rPr>
          <w:sz w:val="28"/>
          <w:szCs w:val="28"/>
          <w:lang w:val="nb-NO"/>
        </w:rPr>
        <w:lastRenderedPageBreak/>
        <w:t>- Ngày 04/11/2025, Sở Nông nghiệp và Môi trường có Văn bản số 6765/BC-SNNMT báo cáo kết quả xây dựng Đề cương nhiệm vụ “Xây dựng Định mức kinh tế - kỹ thuật lập hành lang bảo vệ nguồn nước trên địa bàn tỉnh Hà Tĩnh”, trong đó đề nghị Ủy ban nhân dân tỉnh giao Sở Tài chính thẩm định Dự toán kinh phí thực hiện nhiệm vụ và xem xét, phê duyệt Đề cương, dự toán kinh phí thực hiện nhiệm vụ trên.</w:t>
      </w:r>
    </w:p>
    <w:p>
      <w:pPr>
        <w:pStyle w:val="NormalWeb"/>
        <w:spacing w:before="0" w:beforeAutospacing="0" w:after="120" w:afterAutospacing="0"/>
        <w:ind w:firstLine="720"/>
        <w:jc w:val="both"/>
        <w:rPr>
          <w:sz w:val="28"/>
          <w:szCs w:val="28"/>
          <w:lang w:val="nb-NO"/>
        </w:rPr>
      </w:pPr>
      <w:r>
        <w:rPr>
          <w:sz w:val="28"/>
          <w:szCs w:val="28"/>
          <w:lang w:val="nb-NO"/>
        </w:rPr>
        <w:t>- Ngày 07/11/2025, UBND tỉnh có Văn bản số 8714/UBND-NL</w:t>
      </w:r>
      <w:r>
        <w:rPr>
          <w:sz w:val="28"/>
          <w:szCs w:val="28"/>
          <w:vertAlign w:val="subscript"/>
          <w:lang w:val="nb-NO"/>
        </w:rPr>
        <w:t>1</w:t>
      </w:r>
      <w:r>
        <w:rPr>
          <w:sz w:val="28"/>
          <w:szCs w:val="28"/>
          <w:lang w:val="nb-NO"/>
        </w:rPr>
        <w:t xml:space="preserve"> về việc thẩm định Đề cương nhiệm vụ và dự toán kinh phí “Xây dựng Định mức kinh tế - kỹ thuật lập hành lang bảo vệ nguồn nước trên địa bàn tỉnh Hà Tĩnh”.</w:t>
      </w:r>
    </w:p>
    <w:p>
      <w:pPr>
        <w:pStyle w:val="NormalWeb"/>
        <w:spacing w:before="0" w:beforeAutospacing="0" w:after="120" w:afterAutospacing="0"/>
        <w:ind w:firstLine="720"/>
        <w:jc w:val="both"/>
        <w:rPr>
          <w:sz w:val="28"/>
          <w:szCs w:val="28"/>
          <w:lang w:val="nb-NO"/>
        </w:rPr>
      </w:pPr>
      <w:r>
        <w:rPr>
          <w:sz w:val="28"/>
          <w:szCs w:val="28"/>
          <w:lang w:val="nb-NO"/>
        </w:rPr>
        <w:t>- Ngày 13/12/2025, Sở Tài chính có Văn bản số 9059/STC-QLN về việc thẩm định Đề cương nhiệm vụ và dự toán kinh phí “Xây dựng Định mức KT-KT lập hành lang bảo vệ nguồn nước trên địa bàn tỉnh Hà Tĩnh, trong đó có nêu: (1) Việc thẩm định Đề cương nhiệm vụ và dự toán kinh phí “Xây dựng định mức kinh tế - kỹ thuật lập hành lang bảo vệ nguồn nước trên địa bàn tỉnh Hà Tĩnh không thuộc chức năng, nhiệm vụ của Sở Tài chính; (2) Sở Tài chính đề nghị Sở Tài nguyên và Môi trường đề nghị Bộ Tài nguyên và Môi trường ban hành định mức kinh tế - kỹ thuật, đơn giá lập hành lang bảo vệ nguồn nước để các địa phương có cơ sở thực hiện; (3)Trường hợp Bộ Tài nguyên và Môi trường có văn bản trả lời Bộ không ban hành định mức, Sở Tài nguyên và Môi trường tham mưu UBND tỉnh ban hành định mức kinh tế - kỹ thuật, đơn giá lập hành lang bảo vệ nguồn nước trên địa bàn tỉnh Hà Tĩnh.</w:t>
      </w:r>
    </w:p>
    <w:p>
      <w:pPr>
        <w:pStyle w:val="NormalWeb"/>
        <w:spacing w:before="0" w:beforeAutospacing="0" w:after="120" w:afterAutospacing="0"/>
        <w:ind w:firstLine="720"/>
        <w:jc w:val="both"/>
        <w:rPr>
          <w:spacing w:val="-2"/>
          <w:sz w:val="28"/>
          <w:szCs w:val="28"/>
          <w:lang w:val="nb-NO"/>
        </w:rPr>
      </w:pPr>
      <w:r>
        <w:rPr>
          <w:spacing w:val="-2"/>
          <w:sz w:val="28"/>
          <w:szCs w:val="28"/>
          <w:lang w:val="nb-NO"/>
        </w:rPr>
        <w:t>- Ngày 17/12/2025, Sở Nông nghiệp và Môi trường có Văn bản số 8061/SNNMT-TNN gửi Bộ Nông nghiệp và Môi trường về việc đề nghị rà soát, ban hành các định mức kinh tế - kỹ thuật, đơn giá trong lĩnh vực tài nguyên nước, khí tượng thủy văn áp dụng đối với các nhiệm vụ thuộc thẩm quyền cấp tỉnh.</w:t>
      </w:r>
    </w:p>
    <w:p>
      <w:pPr>
        <w:pStyle w:val="NormalWeb"/>
        <w:spacing w:before="0" w:beforeAutospacing="0" w:after="120" w:afterAutospacing="0"/>
        <w:ind w:firstLine="720"/>
        <w:jc w:val="both"/>
        <w:rPr>
          <w:sz w:val="28"/>
          <w:szCs w:val="28"/>
          <w:lang w:val="nb-NO"/>
        </w:rPr>
      </w:pPr>
      <w:r>
        <w:rPr>
          <w:sz w:val="28"/>
          <w:szCs w:val="28"/>
          <w:lang w:val="nb-NO"/>
        </w:rPr>
        <w:t>- Ngày 30/12/2025, Cục Quản lý tài nguyên nước (Bộ Nông nghiệp và Môi trường) có Văn bản số 3242/TNN-BTB phúc đáp Văn bản số 8061/SNNMT-TNN, trong đó nêu rõ: (1) Sở Nông nghiệp và Môi trường tỉnh Hà Tĩnh tham mưu UBND tỉnh ban hành định mức kinh tế kỹ thuật đối với các dịch vụ sự nghiệp công sử dụng ngân sách nhà nước thuộc phạm vi quản lý để thực hiện tại địa phương; (2) Bộ Nông nghiệp và Môi trường  đã ban hành Văn bản số 8875/BTNMT-TNN  ngày 17/12/2025 đề nghị UBND tỉnh chỉ đạo các đơn vị có liên quan khẩn trương tham mưu ban hành định mức kinh tế - kỹ thuật, định mức chi phí (nếu có), đơn giá sản phẩm về việc lập, quản lý hành lang bảo vệ nguồn nước để áp dụng trên địa bàn.</w:t>
      </w:r>
    </w:p>
    <w:p>
      <w:pPr>
        <w:pStyle w:val="NormalWeb"/>
        <w:spacing w:before="0" w:beforeAutospacing="0" w:after="120" w:afterAutospacing="0"/>
        <w:ind w:firstLine="720"/>
        <w:jc w:val="both"/>
        <w:rPr>
          <w:sz w:val="28"/>
          <w:szCs w:val="28"/>
          <w:lang w:val="nb-NO"/>
        </w:rPr>
      </w:pPr>
      <w:r>
        <w:rPr>
          <w:sz w:val="28"/>
          <w:szCs w:val="28"/>
          <w:lang w:val="nb-NO"/>
        </w:rPr>
        <w:t xml:space="preserve">- Ngày 09/2/2026, Sở Nông nghiệp và Môi trường có Văn bản số 957/SNNMT-TNN về việc triển khai thực hiện nhiệm vụ “Xây dựng Định mức kinh tế - kỹ thuật lập hành lang bảo vệ nguồn nước trên địa bàn tỉnh Hà Tĩnh”, trong đó đề nghị UBND tỉnh giao Sở Nông nghiệp và Môi trường chủ trì phê duyệt Đề cương nhiệm vụ và dự toán kinh phí “Xây dựng định mức kinh tế - kỹ thuật lập hành lang bảo vệ nguồn nước trên địa bàn tỉnh Hà Tĩnh”; tổ chức thực hiện nhiệm vụ và tham mưu UBND tỉnh ban hành Định mức kinh tế - kỹ thuật lập hành lang bảo vệ nguồn nước trên địa bàn tỉnh theo thẩm quyền và quy định </w:t>
      </w:r>
      <w:r>
        <w:rPr>
          <w:sz w:val="28"/>
          <w:szCs w:val="28"/>
          <w:lang w:val="nb-NO"/>
        </w:rPr>
        <w:lastRenderedPageBreak/>
        <w:t>của pháp luật; giao Sở Tài chính tiếp tục phối hợp với Sở Nông nghiệp và Môi trường trong quá trình triển khai thực hiện nhiệm vụ theo chức năng, nhiệm vụ được giao; đảm bảo việc bố trí, quản lý và sử dụng kinh phí đúng quy định của pháp luật về ngân sách nhà nước.</w:t>
      </w:r>
    </w:p>
    <w:p>
      <w:pPr>
        <w:pStyle w:val="NormalWeb"/>
        <w:spacing w:before="0" w:beforeAutospacing="0" w:after="120" w:afterAutospacing="0"/>
        <w:ind w:firstLine="720"/>
        <w:jc w:val="both"/>
        <w:rPr>
          <w:sz w:val="28"/>
          <w:szCs w:val="28"/>
          <w:lang w:val="nb-NO"/>
        </w:rPr>
      </w:pPr>
      <w:r>
        <w:rPr>
          <w:sz w:val="28"/>
          <w:szCs w:val="28"/>
          <w:lang w:val="nb-NO"/>
        </w:rPr>
        <w:t>- Ngày 02/3/2026, UBND tỉnh có Văn bản số 1584/UBND-NL</w:t>
      </w:r>
      <w:r>
        <w:rPr>
          <w:sz w:val="28"/>
          <w:szCs w:val="28"/>
          <w:vertAlign w:val="subscript"/>
          <w:lang w:val="nb-NO"/>
        </w:rPr>
        <w:t>1</w:t>
      </w:r>
      <w:r>
        <w:rPr>
          <w:sz w:val="28"/>
          <w:szCs w:val="28"/>
          <w:lang w:val="nb-NO"/>
        </w:rPr>
        <w:t xml:space="preserve"> về việc triển khai thực hiện nhiệm vụ “Xây dựng Định mức kinh tế - kỹ thuật lập hành lang bảo vệ nguồn nước trên địa bàn tỉnh Hà Tĩnh”, trong đó đồng ý với báo cáo, đề xuất của Sở Nông nghiệp và Môi trường tại Văn bản số 957/SNNMT-TNN.</w:t>
      </w:r>
    </w:p>
    <w:p>
      <w:pPr>
        <w:pStyle w:val="NormalWeb"/>
        <w:spacing w:before="0" w:beforeAutospacing="0" w:after="120" w:afterAutospacing="0"/>
        <w:ind w:firstLine="720"/>
        <w:jc w:val="both"/>
        <w:rPr>
          <w:bCs/>
          <w:sz w:val="28"/>
          <w:szCs w:val="28"/>
          <w:lang w:val="nb-NO"/>
        </w:rPr>
      </w:pPr>
      <w:r>
        <w:rPr>
          <w:iCs/>
          <w:sz w:val="28"/>
          <w:szCs w:val="28"/>
          <w:lang w:val="es-MX"/>
        </w:rPr>
        <w:t xml:space="preserve">Ngày </w:t>
      </w:r>
      <w:r>
        <w:rPr>
          <w:sz w:val="28"/>
          <w:szCs w:val="28"/>
          <w:lang w:val="nb-NO"/>
        </w:rPr>
        <w:t>07/5/2026</w:t>
      </w:r>
      <w:r>
        <w:rPr>
          <w:iCs/>
          <w:sz w:val="28"/>
          <w:szCs w:val="28"/>
          <w:lang w:val="es-MX"/>
        </w:rPr>
        <w:t xml:space="preserve">, Sở Nông nghiệp và Môi trường ban hành Quyết định số 487/QĐ-SNNMT về việc phê duyệt đề cương nhiệm vụ và dự toán kinh phí Xây dựng định mức kinh tế - kỹ thuật lập hành lang bảo vệ nguồn nước trên địa bàn tỉnh Hà Tĩnh. </w:t>
      </w:r>
      <w:r>
        <w:rPr>
          <w:sz w:val="28"/>
          <w:szCs w:val="28"/>
          <w:lang w:val="es-MX"/>
        </w:rPr>
        <w:t xml:space="preserve">Theo đó, Sở Nông nghiệp và Môi trường đã đã tổ chức lựa chọn, ký hợp đồng với đơn vị tư vấn thực hiện xây dựng định mức kinh tế - kỹ thuật theo quy định. Quá trình thực hiện, Sở đã có các Văn bản số 5566/SNNMT-TNN ngày 14/07/2026 và số 5602/SNNMT-TNN ngày 15/7/2026 về việc phối hợp cung cấp thông tin, tài liệu phục vụ thực hiện nhiệm vụ “Xây dựng Định mức kinh tế - kỹ thuật lập hành lang bảo vệ nguồn nước trên địa bàn tỉnh Hà Tĩnh” gửi các đơn vị, địa phương có liên quan. Đến nay, đơn vị tư vấn hoàn thành dự thảo </w:t>
      </w:r>
      <w:r>
        <w:rPr>
          <w:iCs/>
          <w:sz w:val="28"/>
          <w:szCs w:val="28"/>
          <w:lang w:val="es-MX"/>
        </w:rPr>
        <w:t>định mức kinh tế - kỹ thuật lập hành lang bảo vệ nguồn nước trên địa bàn tỉnh Hà Tĩnh</w:t>
      </w:r>
      <w:r>
        <w:rPr>
          <w:bCs/>
          <w:sz w:val="28"/>
          <w:szCs w:val="28"/>
          <w:lang w:val="nb-NO"/>
        </w:rPr>
        <w:t xml:space="preserve"> và dự thảo Quyết định của UBND tỉnh ban hành định mức này. </w:t>
      </w:r>
    </w:p>
    <w:p>
      <w:pPr>
        <w:pStyle w:val="NormalWeb"/>
        <w:spacing w:before="0" w:beforeAutospacing="0" w:after="120" w:afterAutospacing="0"/>
        <w:ind w:firstLine="720"/>
        <w:jc w:val="both"/>
        <w:rPr>
          <w:bCs/>
          <w:sz w:val="28"/>
          <w:szCs w:val="28"/>
          <w:lang w:val="nb-NO"/>
        </w:rPr>
      </w:pPr>
      <w:r>
        <w:rPr>
          <w:bCs/>
          <w:sz w:val="28"/>
          <w:szCs w:val="28"/>
          <w:lang w:val="nb-NO"/>
        </w:rPr>
        <w:t xml:space="preserve"> Ngày …/…/2026, Sở Nông nghiệp và Môi trường đã có Văn bản số  …./SNNMT-TNN gửi các Sở, ngành liên quan và UBND các xã, phường về việc lấy ý kiến Dự thảo Quyết định ban hành định mức kinh tế - kỹ thuật Lập hành lang bảo vệ nguồn nước trên địa bàn tỉnh Hà Tĩnh. </w:t>
      </w:r>
    </w:p>
    <w:p>
      <w:pPr>
        <w:pStyle w:val="NormalWeb"/>
        <w:spacing w:before="0" w:beforeAutospacing="0" w:after="120" w:afterAutospacing="0"/>
        <w:ind w:firstLine="720"/>
        <w:jc w:val="both"/>
        <w:rPr>
          <w:bCs/>
          <w:sz w:val="28"/>
          <w:szCs w:val="28"/>
          <w:lang w:val="nb-NO"/>
        </w:rPr>
      </w:pPr>
      <w:r>
        <w:rPr>
          <w:bCs/>
          <w:sz w:val="28"/>
          <w:szCs w:val="28"/>
          <w:lang w:val="nb-NO"/>
        </w:rPr>
        <w:t>Kết quả tổng hợp cho thấy, cơ bản các sở, ngành, địa phương, đơn vị liên quan đều thống nhất với dự thảo. Tiếp thu ý kiến góp ý của các cơ quan, đơn vị liên  quan đối với dự thảo, Sở Nông nghiệp và Môi trường đã hoàn chỉnh Dự thảo và có Văn bản số …/SNNMT-TNN ngày …./…/2026 xin ý kiến thẩm định của Sở Tư pháp theo quy định.</w:t>
      </w:r>
    </w:p>
    <w:p>
      <w:pPr>
        <w:pStyle w:val="NormalWeb"/>
        <w:spacing w:before="0" w:beforeAutospacing="0" w:after="120" w:afterAutospacing="0"/>
        <w:ind w:firstLine="720"/>
        <w:jc w:val="both"/>
        <w:rPr>
          <w:bCs/>
          <w:sz w:val="28"/>
          <w:szCs w:val="28"/>
          <w:lang w:val="nb-NO"/>
        </w:rPr>
      </w:pPr>
      <w:r>
        <w:rPr>
          <w:bCs/>
          <w:sz w:val="28"/>
          <w:szCs w:val="28"/>
          <w:lang w:val="nb-NO"/>
        </w:rPr>
        <w:t xml:space="preserve">Ngày …/…/2026, Sở Tư pháp có Báo cáo thẩm định số …./BCTĐ-STP  về dự thảo Quyết định nêu trên. </w:t>
      </w:r>
    </w:p>
    <w:p>
      <w:pPr>
        <w:pStyle w:val="NormalWeb"/>
        <w:spacing w:before="0" w:beforeAutospacing="0" w:after="120" w:afterAutospacing="0"/>
        <w:ind w:firstLine="720"/>
        <w:jc w:val="both"/>
        <w:rPr>
          <w:b/>
          <w:sz w:val="28"/>
          <w:szCs w:val="28"/>
          <w:lang w:val="nb-NO"/>
        </w:rPr>
      </w:pPr>
      <w:r>
        <w:rPr>
          <w:b/>
          <w:sz w:val="28"/>
          <w:szCs w:val="28"/>
          <w:lang w:val="nb-NO"/>
        </w:rPr>
        <w:t xml:space="preserve">IV. BỐ CỤC VÀ NỘI DUNG CƠ BẢN CỦA DỰ THẢO VĂN BẢN 1. Phạm vi điều chỉnh, đối tượng áp dụng </w:t>
      </w:r>
    </w:p>
    <w:p>
      <w:pPr>
        <w:pStyle w:val="NormalWeb"/>
        <w:spacing w:before="120" w:beforeAutospacing="0" w:after="0" w:afterAutospacing="0"/>
        <w:ind w:firstLine="720"/>
        <w:jc w:val="both"/>
        <w:rPr>
          <w:b/>
          <w:sz w:val="28"/>
          <w:szCs w:val="28"/>
          <w:lang w:val="nb-NO"/>
        </w:rPr>
      </w:pPr>
      <w:r>
        <w:rPr>
          <w:b/>
          <w:sz w:val="28"/>
          <w:szCs w:val="28"/>
          <w:lang w:val="nb-NO"/>
        </w:rPr>
        <w:t xml:space="preserve">1.1. Phạm vi điều chỉnh </w:t>
      </w:r>
    </w:p>
    <w:p>
      <w:pPr>
        <w:pStyle w:val="Mcnidung"/>
        <w:spacing w:before="120" w:after="0" w:line="240" w:lineRule="auto"/>
        <w:ind w:firstLine="720"/>
      </w:pPr>
      <w:r>
        <w:t>Định mức kinh tế - kỹ thuật lập hành lang bảo vệ nguồn nước áp dụng cho các công việc sau:</w:t>
      </w:r>
    </w:p>
    <w:p>
      <w:pPr>
        <w:pStyle w:val="Mcnidung"/>
        <w:spacing w:before="120" w:after="0" w:line="240" w:lineRule="auto"/>
        <w:ind w:firstLine="720"/>
      </w:pPr>
      <w:r>
        <w:t>1. Lập danh mục nguồn nước phải lập hành lang bảo vệ.</w:t>
      </w:r>
    </w:p>
    <w:p>
      <w:pPr>
        <w:pStyle w:val="Mcnidung"/>
        <w:spacing w:before="120" w:after="0" w:line="240" w:lineRule="auto"/>
        <w:ind w:firstLine="720"/>
      </w:pPr>
      <w:r>
        <w:t>2. Xây dựng phương án cắm mốc giới hành lang bảo vệ nguồn nước.</w:t>
      </w:r>
    </w:p>
    <w:p>
      <w:pPr>
        <w:pStyle w:val="Mcnidung"/>
        <w:spacing w:before="120" w:after="0" w:line="240" w:lineRule="auto"/>
        <w:ind w:firstLine="720"/>
        <w:rPr>
          <w:lang w:val="vi-VN"/>
        </w:rPr>
      </w:pPr>
      <w:r>
        <w:t xml:space="preserve">3. </w:t>
      </w:r>
      <w:r>
        <w:rPr>
          <w:lang w:val="vi-VN"/>
        </w:rPr>
        <w:t>Thực hiện cắm mốc giới hành lang bảo vệ</w:t>
      </w:r>
      <w:r>
        <w:t xml:space="preserve"> nguồn nước</w:t>
      </w:r>
      <w:r>
        <w:rPr>
          <w:lang w:val="vi-VN"/>
        </w:rPr>
        <w:t>.</w:t>
      </w:r>
    </w:p>
    <w:p>
      <w:pPr>
        <w:pStyle w:val="NormalWeb"/>
        <w:spacing w:before="0" w:beforeAutospacing="0" w:after="120" w:afterAutospacing="0"/>
        <w:ind w:firstLine="720"/>
        <w:jc w:val="both"/>
        <w:rPr>
          <w:b/>
          <w:sz w:val="28"/>
          <w:szCs w:val="28"/>
          <w:lang w:val="nb-NO"/>
        </w:rPr>
      </w:pPr>
      <w:r>
        <w:rPr>
          <w:b/>
          <w:sz w:val="28"/>
          <w:szCs w:val="28"/>
          <w:lang w:val="nb-NO"/>
        </w:rPr>
        <w:t xml:space="preserve">1.2. Đối tượng áp dụng </w:t>
      </w:r>
    </w:p>
    <w:p>
      <w:pPr>
        <w:pStyle w:val="Mcnidung"/>
        <w:spacing w:before="0" w:after="120" w:line="240" w:lineRule="auto"/>
        <w:ind w:firstLine="720"/>
        <w:rPr>
          <w:bCs/>
          <w:lang w:val="nb-NO"/>
        </w:rPr>
      </w:pPr>
      <w:r>
        <w:lastRenderedPageBreak/>
        <w:t>Định mức kinh tế - kỹ thuật này áp dụng đối với các cơ quan nhà nước, các tổ chức và cá nhân có liên quan đến lập hành lang bảo vệ nguồn nước trên địa bàn tỉnh Hà Tĩnh.</w:t>
      </w:r>
    </w:p>
    <w:p>
      <w:pPr>
        <w:pStyle w:val="NormalWeb"/>
        <w:spacing w:before="0" w:beforeAutospacing="0" w:after="120" w:afterAutospacing="0"/>
        <w:ind w:firstLine="720"/>
        <w:jc w:val="both"/>
        <w:rPr>
          <w:b/>
          <w:sz w:val="28"/>
          <w:szCs w:val="28"/>
          <w:lang w:val="nb-NO"/>
        </w:rPr>
      </w:pPr>
      <w:r>
        <w:rPr>
          <w:b/>
          <w:sz w:val="28"/>
          <w:szCs w:val="28"/>
          <w:lang w:val="nb-NO"/>
        </w:rPr>
        <w:t xml:space="preserve">2. Về bố cục của dự thảo văn bản </w:t>
      </w:r>
    </w:p>
    <w:p>
      <w:pPr>
        <w:pStyle w:val="NormalWeb"/>
        <w:spacing w:before="0" w:beforeAutospacing="0" w:after="120" w:afterAutospacing="0"/>
        <w:ind w:firstLine="720"/>
        <w:jc w:val="both"/>
        <w:rPr>
          <w:bCs/>
          <w:sz w:val="28"/>
          <w:szCs w:val="28"/>
          <w:lang w:val="nb-NO"/>
        </w:rPr>
      </w:pPr>
      <w:r>
        <w:rPr>
          <w:bCs/>
          <w:sz w:val="28"/>
          <w:szCs w:val="28"/>
          <w:lang w:val="nb-NO"/>
        </w:rPr>
        <w:t xml:space="preserve">2.1. Về bố cục của Dự thảo Quyết định </w:t>
      </w:r>
    </w:p>
    <w:p>
      <w:pPr>
        <w:pStyle w:val="NormalWeb"/>
        <w:spacing w:before="0" w:beforeAutospacing="0" w:after="120" w:afterAutospacing="0"/>
        <w:ind w:firstLine="720"/>
        <w:jc w:val="both"/>
        <w:rPr>
          <w:bCs/>
          <w:sz w:val="28"/>
          <w:szCs w:val="28"/>
          <w:lang w:val="nb-NO"/>
        </w:rPr>
      </w:pPr>
      <w:r>
        <w:rPr>
          <w:bCs/>
          <w:sz w:val="28"/>
          <w:szCs w:val="28"/>
          <w:lang w:val="nb-NO"/>
        </w:rPr>
        <w:t xml:space="preserve">Dự thảo Quyết định có 3 điều; trong đó Điều 1 quy định về phạm vi điều chỉnh; Điều 2 quy định về hiệu lực thi hành; Điều 3 quy định về tổ chức thực hiện. </w:t>
      </w:r>
    </w:p>
    <w:p>
      <w:pPr>
        <w:pStyle w:val="NormalWeb"/>
        <w:spacing w:before="0" w:beforeAutospacing="0" w:after="120" w:afterAutospacing="0"/>
        <w:ind w:firstLine="720"/>
        <w:jc w:val="both"/>
        <w:rPr>
          <w:b/>
          <w:sz w:val="28"/>
          <w:szCs w:val="28"/>
          <w:lang w:val="nb-NO"/>
        </w:rPr>
      </w:pPr>
      <w:r>
        <w:rPr>
          <w:b/>
          <w:sz w:val="28"/>
          <w:szCs w:val="28"/>
          <w:lang w:val="nb-NO"/>
        </w:rPr>
        <w:t xml:space="preserve">2.2. Về bố cục của Dự thảo Định mức kinh tế - kỹ thuật </w:t>
      </w:r>
    </w:p>
    <w:p>
      <w:pPr>
        <w:pStyle w:val="NormalWeb"/>
        <w:spacing w:before="0" w:beforeAutospacing="0" w:after="120" w:afterAutospacing="0"/>
        <w:ind w:firstLine="720"/>
        <w:jc w:val="both"/>
        <w:rPr>
          <w:bCs/>
          <w:sz w:val="28"/>
          <w:szCs w:val="28"/>
          <w:lang w:val="nb-NO"/>
        </w:rPr>
      </w:pPr>
      <w:r>
        <w:rPr>
          <w:bCs/>
          <w:sz w:val="28"/>
          <w:szCs w:val="28"/>
          <w:lang w:val="nb-NO"/>
        </w:rPr>
        <w:t xml:space="preserve">Dự thảo định mức kinh tế - kỹ thuật lập hành lang bảo vệ nguồn nước trên địa bàn tỉnh Hà Tĩnh, gồm 02 chương, 24 điều; cụ thể: </w:t>
      </w:r>
    </w:p>
    <w:p>
      <w:pPr>
        <w:pStyle w:val="NormalWeb"/>
        <w:spacing w:before="0" w:beforeAutospacing="0" w:after="120" w:afterAutospacing="0"/>
        <w:ind w:firstLine="720"/>
        <w:jc w:val="both"/>
        <w:rPr>
          <w:bCs/>
          <w:sz w:val="28"/>
          <w:szCs w:val="28"/>
          <w:lang w:val="nb-NO"/>
        </w:rPr>
      </w:pPr>
      <w:r>
        <w:rPr>
          <w:bCs/>
          <w:sz w:val="28"/>
          <w:szCs w:val="28"/>
          <w:lang w:val="nb-NO"/>
        </w:rPr>
        <w:t xml:space="preserve">Chương I. Quy định chung, gồm 6 Điều, từ Điều 1 đến Điều 6. </w:t>
      </w:r>
    </w:p>
    <w:p>
      <w:pPr>
        <w:pStyle w:val="NormalWeb"/>
        <w:spacing w:before="0" w:beforeAutospacing="0" w:after="120" w:afterAutospacing="0"/>
        <w:ind w:firstLine="720"/>
        <w:jc w:val="both"/>
        <w:rPr>
          <w:bCs/>
          <w:sz w:val="28"/>
          <w:szCs w:val="28"/>
          <w:lang w:val="nb-NO"/>
        </w:rPr>
      </w:pPr>
      <w:r>
        <w:rPr>
          <w:bCs/>
          <w:sz w:val="28"/>
          <w:szCs w:val="28"/>
          <w:lang w:val="nb-NO"/>
        </w:rPr>
        <w:t>Chương II. Định mức kinh tế - kỹ thuật gồm 3 Mục, 18 Điều, từ Điều 7 đến Điều 24:</w:t>
      </w:r>
    </w:p>
    <w:p>
      <w:pPr>
        <w:pStyle w:val="NormalWeb"/>
        <w:spacing w:before="0" w:beforeAutospacing="0" w:after="120" w:afterAutospacing="0"/>
        <w:ind w:firstLine="720"/>
        <w:jc w:val="both"/>
        <w:rPr>
          <w:bCs/>
          <w:sz w:val="28"/>
          <w:szCs w:val="28"/>
          <w:lang w:val="nb-NO"/>
        </w:rPr>
      </w:pPr>
      <w:r>
        <w:rPr>
          <w:bCs/>
          <w:sz w:val="28"/>
          <w:szCs w:val="28"/>
          <w:lang w:val="nb-NO"/>
        </w:rPr>
        <w:t xml:space="preserve">Mục 1. Lập danh mục nguồn nước phải lập hành lang bảo vệ gồm 06 điều,  từ điều 7 đến điều 12. </w:t>
      </w:r>
    </w:p>
    <w:p>
      <w:pPr>
        <w:pStyle w:val="NormalWeb"/>
        <w:spacing w:before="0" w:beforeAutospacing="0" w:after="120" w:afterAutospacing="0"/>
        <w:ind w:firstLine="720"/>
        <w:jc w:val="both"/>
        <w:rPr>
          <w:bCs/>
          <w:spacing w:val="-4"/>
          <w:sz w:val="28"/>
          <w:szCs w:val="28"/>
          <w:lang w:val="nb-NO"/>
        </w:rPr>
      </w:pPr>
      <w:r>
        <w:rPr>
          <w:bCs/>
          <w:spacing w:val="-4"/>
          <w:sz w:val="28"/>
          <w:szCs w:val="28"/>
          <w:lang w:val="nb-NO"/>
        </w:rPr>
        <w:t xml:space="preserve">Mục 2. Xây dựng phương án cắm mốc giới hành lang bảo vệ nguồn nước gồm 06 điều, từ điều 13 đến điều 18. </w:t>
      </w:r>
    </w:p>
    <w:p>
      <w:pPr>
        <w:pStyle w:val="NormalWeb"/>
        <w:spacing w:before="0" w:beforeAutospacing="0" w:after="120" w:afterAutospacing="0"/>
        <w:ind w:firstLine="720"/>
        <w:jc w:val="both"/>
        <w:rPr>
          <w:bCs/>
          <w:sz w:val="28"/>
          <w:szCs w:val="28"/>
          <w:lang w:val="nb-NO"/>
        </w:rPr>
      </w:pPr>
      <w:r>
        <w:rPr>
          <w:bCs/>
          <w:sz w:val="28"/>
          <w:szCs w:val="28"/>
          <w:lang w:val="nb-NO"/>
        </w:rPr>
        <w:t xml:space="preserve">Mục 3. Thực hiện cắm mốc giới hành lang bảo vệ nguồn nước gồm 06 điều, từ điều 19 đến điều  24. </w:t>
      </w:r>
    </w:p>
    <w:p>
      <w:pPr>
        <w:pStyle w:val="NormalWeb"/>
        <w:spacing w:before="0" w:beforeAutospacing="0" w:after="120" w:afterAutospacing="0"/>
        <w:ind w:firstLine="720"/>
        <w:jc w:val="both"/>
        <w:rPr>
          <w:b/>
          <w:bCs/>
          <w:spacing w:val="-4"/>
          <w:sz w:val="28"/>
          <w:szCs w:val="28"/>
          <w:lang w:val="nb-NO"/>
        </w:rPr>
      </w:pPr>
      <w:r>
        <w:rPr>
          <w:b/>
          <w:bCs/>
          <w:spacing w:val="-4"/>
          <w:sz w:val="28"/>
          <w:szCs w:val="28"/>
          <w:lang w:val="nb-NO"/>
        </w:rPr>
        <w:t xml:space="preserve">3. Nội dung cơ bản  </w:t>
      </w:r>
    </w:p>
    <w:p>
      <w:pPr>
        <w:pStyle w:val="NormalWeb"/>
        <w:spacing w:before="0" w:beforeAutospacing="0" w:after="120" w:afterAutospacing="0"/>
        <w:ind w:firstLine="720"/>
        <w:jc w:val="both"/>
        <w:rPr>
          <w:bCs/>
          <w:spacing w:val="-2"/>
          <w:sz w:val="28"/>
          <w:szCs w:val="28"/>
          <w:lang w:val="nb-NO"/>
        </w:rPr>
      </w:pPr>
      <w:r>
        <w:rPr>
          <w:bCs/>
          <w:spacing w:val="-2"/>
          <w:sz w:val="28"/>
          <w:szCs w:val="28"/>
          <w:lang w:val="nb-NO"/>
        </w:rPr>
        <w:t>Dự thảo Quyết định này ban hành định mức lao động, định mức thiết bị, dụng cụ, vật liệu và năng lượng, nhiên liệu sử dụng trong từng bước công việc lập hành lang bảo vệ nguồn nước (</w:t>
      </w:r>
      <w:r>
        <w:rPr>
          <w:bCs/>
          <w:i/>
          <w:spacing w:val="-2"/>
          <w:sz w:val="28"/>
          <w:szCs w:val="28"/>
          <w:lang w:val="nb-NO"/>
        </w:rPr>
        <w:t>gồm</w:t>
      </w:r>
      <w:r>
        <w:rPr>
          <w:i/>
          <w:spacing w:val="-2"/>
          <w:sz w:val="28"/>
          <w:szCs w:val="28"/>
          <w:lang w:val="nb-NO"/>
        </w:rPr>
        <w:t xml:space="preserve"> </w:t>
      </w:r>
      <w:r>
        <w:rPr>
          <w:bCs/>
          <w:i/>
          <w:spacing w:val="-2"/>
          <w:sz w:val="28"/>
          <w:szCs w:val="28"/>
          <w:lang w:val="nb-NO"/>
        </w:rPr>
        <w:t>lập danh mục nguồn nước phải lập hành lang bảo vệ; xây dựng phương án cắm mốc giới hành lang bảo vệ nguồn nước; thực hiện cắm mốc giới hành lang bảo vệ nguồn nước</w:t>
      </w:r>
      <w:r>
        <w:rPr>
          <w:bCs/>
          <w:spacing w:val="-2"/>
          <w:sz w:val="28"/>
          <w:szCs w:val="28"/>
          <w:lang w:val="nb-NO"/>
        </w:rPr>
        <w:t xml:space="preserve">) trên địa bàn tỉnh Hà Tĩnh. </w:t>
      </w:r>
    </w:p>
    <w:p>
      <w:pPr>
        <w:pStyle w:val="NormalWeb"/>
        <w:spacing w:before="0" w:beforeAutospacing="0" w:after="120" w:afterAutospacing="0"/>
        <w:jc w:val="center"/>
        <w:rPr>
          <w:bCs/>
          <w:i/>
          <w:iCs/>
          <w:sz w:val="28"/>
          <w:szCs w:val="28"/>
          <w:lang w:val="nb-NO"/>
        </w:rPr>
      </w:pPr>
      <w:r>
        <w:rPr>
          <w:bCs/>
          <w:i/>
          <w:iCs/>
          <w:sz w:val="28"/>
          <w:szCs w:val="28"/>
          <w:lang w:val="nb-NO"/>
        </w:rPr>
        <w:t>(</w:t>
      </w:r>
      <w:r>
        <w:rPr>
          <w:i/>
          <w:spacing w:val="-4"/>
          <w:sz w:val="28"/>
          <w:szCs w:val="28"/>
          <w:lang w:val="nb-NO"/>
        </w:rPr>
        <w:t>Trình bày chi tiết tại Dự thảo Quyết định ban hành định mức kinh tế - kỹ thuật lập hành lang bảo vệ nguồn nước trên địa bàn tỉnh Hà Tĩnh gửi kèm theo</w:t>
      </w:r>
      <w:r>
        <w:rPr>
          <w:bCs/>
          <w:i/>
          <w:iCs/>
          <w:sz w:val="28"/>
          <w:szCs w:val="28"/>
          <w:lang w:val="nb-NO"/>
        </w:rPr>
        <w:t>).</w:t>
      </w:r>
    </w:p>
    <w:p>
      <w:pPr>
        <w:spacing w:before="60" w:after="60"/>
        <w:ind w:firstLine="567"/>
        <w:jc w:val="both"/>
        <w:rPr>
          <w:b/>
          <w:bCs/>
          <w:sz w:val="28"/>
          <w:szCs w:val="28"/>
          <w:lang w:val="nb-NO"/>
        </w:rPr>
      </w:pPr>
      <w:r>
        <w:rPr>
          <w:b/>
          <w:bCs/>
          <w:sz w:val="28"/>
          <w:szCs w:val="28"/>
          <w:lang w:val="nb-NO"/>
        </w:rPr>
        <w:t>V. DỰ KIẾN NGUỒN LỰC, ĐIỀU KIỆN ĐẢM BẢO THI HÀNH</w:t>
      </w:r>
    </w:p>
    <w:p>
      <w:pPr>
        <w:spacing w:before="60" w:after="60"/>
        <w:ind w:firstLine="567"/>
        <w:jc w:val="both"/>
        <w:rPr>
          <w:sz w:val="28"/>
          <w:szCs w:val="28"/>
          <w:lang w:val="nb-NO"/>
        </w:rPr>
      </w:pPr>
      <w:r>
        <w:rPr>
          <w:sz w:val="28"/>
          <w:szCs w:val="28"/>
          <w:lang w:val="nb-NO"/>
        </w:rPr>
        <w:t>Nguồn lực thực hiện gồm nhân lực, thiết bị, dụng cụ, vật liệu và các điều kiện cần thiết khác theo định mức kinh tế - kỹ thuật ban hành kèm theo Quyết định. Kinh phí thực hiện các nhiệm vụ lập hành lang bảo vệ nguồn nước được bố trí từ ngân sách nhà nước và các nguồn kinh phí hợp pháp khác theo quy định của pháp luật.</w:t>
      </w:r>
    </w:p>
    <w:p>
      <w:pPr>
        <w:spacing w:before="120"/>
        <w:ind w:firstLine="720"/>
        <w:jc w:val="both"/>
        <w:rPr>
          <w:b/>
          <w:bCs/>
          <w:sz w:val="28"/>
          <w:szCs w:val="28"/>
          <w:lang w:val="nb-NO"/>
        </w:rPr>
      </w:pPr>
      <w:r>
        <w:rPr>
          <w:b/>
          <w:bCs/>
          <w:sz w:val="28"/>
          <w:szCs w:val="28"/>
          <w:lang w:val="nb-NO"/>
        </w:rPr>
        <w:t>VI. NHỮNG VẤN ĐỀ KHÁC</w:t>
      </w:r>
    </w:p>
    <w:p>
      <w:pPr>
        <w:spacing w:before="120"/>
        <w:ind w:firstLine="720"/>
        <w:jc w:val="both"/>
        <w:rPr>
          <w:sz w:val="28"/>
          <w:szCs w:val="28"/>
          <w:lang w:val="nb-NO"/>
        </w:rPr>
      </w:pPr>
      <w:r>
        <w:rPr>
          <w:sz w:val="28"/>
          <w:szCs w:val="28"/>
          <w:lang w:val="nb-NO"/>
        </w:rPr>
        <w:t>Dự thảo Quy định đã được xin ý kiến các Sở, ngành, địa phương có liên quan, tổ chức đoàn thể có liên quan; đăng tải dự thảo trên Cổng thông tin của tỉnh, Sở Nông nghiệp và Môi trường để lấy ý kiến rộng rãi trong Nhân dân.</w:t>
      </w:r>
    </w:p>
    <w:p>
      <w:pPr>
        <w:spacing w:before="120"/>
        <w:ind w:firstLine="720"/>
        <w:jc w:val="both"/>
        <w:rPr>
          <w:sz w:val="28"/>
          <w:szCs w:val="28"/>
          <w:lang w:val="nb-NO"/>
        </w:rPr>
      </w:pPr>
      <w:r>
        <w:rPr>
          <w:sz w:val="28"/>
          <w:szCs w:val="28"/>
          <w:lang w:val="nb-NO"/>
        </w:rPr>
        <w:lastRenderedPageBreak/>
        <w:t>Đến nay, các nội dung tham gia góp ý kiến đã được Sở Nông nghiệp và Môi trường tiếp thu, chỉnh sửa và không còn ý kiến khác nhau.</w:t>
      </w:r>
    </w:p>
    <w:p>
      <w:pPr>
        <w:pStyle w:val="NormalWeb"/>
        <w:spacing w:before="120" w:beforeAutospacing="0" w:after="0" w:afterAutospacing="0"/>
        <w:ind w:firstLine="720"/>
        <w:jc w:val="both"/>
        <w:rPr>
          <w:b/>
          <w:sz w:val="28"/>
          <w:szCs w:val="28"/>
          <w:lang w:val="nb-NO"/>
        </w:rPr>
      </w:pPr>
      <w:r>
        <w:rPr>
          <w:b/>
          <w:sz w:val="28"/>
          <w:szCs w:val="28"/>
          <w:lang w:val="nb-NO"/>
        </w:rPr>
        <w:t>VII. NHỮNG VẤN ĐỀ XIN Ý KIẾN: Không có.</w:t>
      </w:r>
    </w:p>
    <w:p>
      <w:pPr>
        <w:tabs>
          <w:tab w:val="left" w:pos="-5688"/>
        </w:tabs>
        <w:spacing w:before="120"/>
        <w:ind w:firstLine="720"/>
        <w:jc w:val="both"/>
        <w:rPr>
          <w:sz w:val="28"/>
          <w:szCs w:val="28"/>
          <w:lang w:val="nb-NO"/>
        </w:rPr>
      </w:pPr>
      <w:r>
        <w:rPr>
          <w:sz w:val="28"/>
          <w:szCs w:val="28"/>
          <w:lang w:val="nb-NO"/>
        </w:rPr>
        <w:t>Trên đây là Tờ trình về dự thảo Quyết định ban hành định mức kinh tế - kỹ thuật lập hành lang bảo vệ nguồn nước trên địa bàn tỉnh Hà Tĩnh</w:t>
      </w:r>
      <w:r>
        <w:rPr>
          <w:bCs/>
          <w:sz w:val="28"/>
          <w:szCs w:val="28"/>
          <w:lang w:val="nb-NO"/>
        </w:rPr>
        <w:t>.</w:t>
      </w:r>
    </w:p>
    <w:p>
      <w:pPr>
        <w:tabs>
          <w:tab w:val="left" w:pos="-5688"/>
        </w:tabs>
        <w:spacing w:before="120"/>
        <w:ind w:firstLine="720"/>
        <w:jc w:val="both"/>
        <w:rPr>
          <w:sz w:val="28"/>
          <w:szCs w:val="28"/>
          <w:lang w:val="nb-NO"/>
        </w:rPr>
      </w:pPr>
      <w:r>
        <w:rPr>
          <w:bCs/>
          <w:i/>
          <w:iCs/>
          <w:sz w:val="28"/>
          <w:szCs w:val="28"/>
          <w:lang w:val="nb-NO"/>
        </w:rPr>
        <w:t xml:space="preserve">(Gửi kèm theo Tờ trình này: (1) Dự thảo Quyết định; (2) </w:t>
      </w:r>
      <w:r>
        <w:rPr>
          <w:bCs/>
          <w:i/>
          <w:sz w:val="28"/>
          <w:szCs w:val="28"/>
          <w:lang w:val="vi-VN"/>
        </w:rPr>
        <w:t>Báo cáo thuyết minh tổng hợp kết quả thực hiện</w:t>
      </w:r>
      <w:r>
        <w:rPr>
          <w:bCs/>
          <w:i/>
          <w:sz w:val="28"/>
          <w:szCs w:val="28"/>
          <w:lang w:val="nb-NO"/>
        </w:rPr>
        <w:t xml:space="preserve"> nhiệm vụ Xây dựng Định mức kinh tế - kỹ thuật lập hành lang bảo vệ nguồn nước trên địa bàn tỉnh Hà Tĩnh; (3) Bảng tính thử đơn giá lập hành lang bảo vệ nguồn nước kèm theo báo cáo thuyết minh; </w:t>
      </w:r>
      <w:r>
        <w:rPr>
          <w:bCs/>
          <w:i/>
          <w:iCs/>
          <w:sz w:val="28"/>
          <w:szCs w:val="28"/>
          <w:lang w:val="nb-NO"/>
        </w:rPr>
        <w:t>(4) Báo cáo thẩm định của Sở Tư pháp; (5) Bản tổng hợp, giải trình, tiếp thu ý kiến góp ý của Sở Tư pháp; (6) Bảng tổng hợp, giải trình, tiếp thu ý kiến góp ý của các sở, ban ngành và các đơn vị có liên quan đối với dự thảo Quyết định; (7)</w:t>
      </w:r>
      <w:r>
        <w:rPr>
          <w:sz w:val="28"/>
          <w:szCs w:val="28"/>
          <w:lang w:val="nb-NO"/>
        </w:rPr>
        <w:t xml:space="preserve"> </w:t>
      </w:r>
      <w:r>
        <w:rPr>
          <w:bCs/>
          <w:i/>
          <w:iCs/>
          <w:sz w:val="28"/>
          <w:szCs w:val="28"/>
          <w:lang w:val="nb-NO"/>
        </w:rPr>
        <w:t>Những văn bản tham gia góp ý, ý kiến của các sở, ban, ngành và các đơn vị có liên quan).</w:t>
      </w:r>
    </w:p>
    <w:p>
      <w:pPr>
        <w:pStyle w:val="NormalWeb"/>
        <w:spacing w:before="120" w:beforeAutospacing="0" w:after="120" w:afterAutospacing="0"/>
        <w:ind w:firstLine="709"/>
        <w:jc w:val="both"/>
        <w:rPr>
          <w:b/>
          <w:sz w:val="28"/>
          <w:szCs w:val="28"/>
          <w:lang w:val="nb-NO"/>
        </w:rPr>
      </w:pPr>
      <w:r>
        <w:rPr>
          <w:sz w:val="28"/>
          <w:szCs w:val="28"/>
          <w:lang w:val="nb-NO"/>
        </w:rPr>
        <w:t>Sở Nông nghiệp và Môi trường kính trình Ủy ban nhân dân tỉnh xem xét, ban hành quyết định./.</w:t>
      </w:r>
    </w:p>
    <w:tbl>
      <w:tblPr>
        <w:tblW w:w="0" w:type="auto"/>
        <w:tblLook w:val="04A0" w:firstRow="1" w:lastRow="0" w:firstColumn="1" w:lastColumn="0" w:noHBand="0" w:noVBand="1"/>
      </w:tblPr>
      <w:tblGrid>
        <w:gridCol w:w="4644"/>
        <w:gridCol w:w="4644"/>
      </w:tblGrid>
      <w:tr>
        <w:tc>
          <w:tcPr>
            <w:tcW w:w="4644" w:type="dxa"/>
          </w:tcPr>
          <w:p>
            <w:pPr>
              <w:jc w:val="both"/>
              <w:rPr>
                <w:b/>
                <w:sz w:val="26"/>
                <w:szCs w:val="28"/>
                <w:lang w:val="vi-VN"/>
              </w:rPr>
            </w:pPr>
            <w:r>
              <w:rPr>
                <w:b/>
                <w:i/>
                <w:szCs w:val="28"/>
                <w:lang w:val="vi-VN"/>
              </w:rPr>
              <w:t>Nơi nhận:</w:t>
            </w:r>
            <w:r>
              <w:rPr>
                <w:b/>
                <w:szCs w:val="28"/>
                <w:lang w:val="vi-VN"/>
              </w:rPr>
              <w:t xml:space="preserve"> </w:t>
            </w:r>
            <w:r>
              <w:rPr>
                <w:b/>
                <w:sz w:val="28"/>
                <w:szCs w:val="28"/>
                <w:lang w:val="vi-VN"/>
              </w:rPr>
              <w:t xml:space="preserve">   </w:t>
            </w:r>
            <w:r>
              <w:rPr>
                <w:b/>
                <w:sz w:val="30"/>
                <w:szCs w:val="28"/>
                <w:lang w:val="vi-VN"/>
              </w:rPr>
              <w:t xml:space="preserve">                                                   </w:t>
            </w:r>
            <w:r>
              <w:rPr>
                <w:b/>
                <w:sz w:val="26"/>
                <w:lang w:val="vi-VN"/>
              </w:rPr>
              <w:t xml:space="preserve">     </w:t>
            </w:r>
          </w:p>
          <w:p>
            <w:pPr>
              <w:rPr>
                <w:sz w:val="22"/>
                <w:szCs w:val="22"/>
                <w:lang w:val="nl-NL"/>
              </w:rPr>
            </w:pPr>
            <w:r>
              <w:rPr>
                <w:sz w:val="22"/>
                <w:szCs w:val="22"/>
                <w:lang w:val="nl-NL"/>
              </w:rPr>
              <w:t>- Như Kính gửi;</w:t>
            </w:r>
          </w:p>
          <w:p>
            <w:pPr>
              <w:rPr>
                <w:sz w:val="22"/>
                <w:szCs w:val="22"/>
                <w:lang w:val="nl-NL"/>
              </w:rPr>
            </w:pPr>
            <w:r>
              <w:rPr>
                <w:sz w:val="22"/>
                <w:szCs w:val="22"/>
                <w:lang w:val="nl-NL"/>
              </w:rPr>
              <w:t>- Sở Tư pháp;</w:t>
            </w:r>
          </w:p>
          <w:p>
            <w:pPr>
              <w:rPr>
                <w:sz w:val="22"/>
                <w:szCs w:val="22"/>
                <w:lang w:val="nl-NL"/>
              </w:rPr>
            </w:pPr>
            <w:r>
              <w:rPr>
                <w:sz w:val="22"/>
                <w:szCs w:val="22"/>
                <w:lang w:val="nl-NL"/>
              </w:rPr>
              <w:t>- GĐ, PGĐ Sở;</w:t>
            </w:r>
          </w:p>
          <w:p>
            <w:pPr>
              <w:rPr>
                <w:sz w:val="22"/>
                <w:szCs w:val="22"/>
                <w:lang w:val="nl-NL"/>
              </w:rPr>
            </w:pPr>
            <w:r>
              <w:rPr>
                <w:sz w:val="22"/>
                <w:szCs w:val="22"/>
                <w:lang w:val="nl-NL"/>
              </w:rPr>
              <w:t>- Phòng KHTC;</w:t>
            </w:r>
          </w:p>
          <w:p>
            <w:pPr>
              <w:jc w:val="both"/>
              <w:rPr>
                <w:sz w:val="30"/>
                <w:szCs w:val="28"/>
                <w:lang w:val="vi-VN"/>
              </w:rPr>
            </w:pPr>
            <w:r>
              <w:rPr>
                <w:sz w:val="22"/>
                <w:szCs w:val="22"/>
                <w:lang w:val="nl-NL"/>
              </w:rPr>
              <w:t>- Lưu: VT, TNN, NTM.</w:t>
            </w:r>
          </w:p>
        </w:tc>
        <w:tc>
          <w:tcPr>
            <w:tcW w:w="4644" w:type="dxa"/>
          </w:tcPr>
          <w:p>
            <w:pPr>
              <w:tabs>
                <w:tab w:val="left" w:pos="720"/>
                <w:tab w:val="left" w:pos="2140"/>
                <w:tab w:val="left" w:pos="3780"/>
              </w:tabs>
              <w:jc w:val="center"/>
              <w:rPr>
                <w:b/>
                <w:sz w:val="26"/>
                <w:lang w:val="vi-VN"/>
              </w:rPr>
            </w:pPr>
            <w:r>
              <w:rPr>
                <w:b/>
                <w:sz w:val="26"/>
                <w:lang w:val="vi-VN"/>
              </w:rPr>
              <w:t>KT.GIÁM ĐỐC</w:t>
            </w:r>
          </w:p>
          <w:p>
            <w:pPr>
              <w:tabs>
                <w:tab w:val="left" w:pos="720"/>
                <w:tab w:val="left" w:pos="2140"/>
                <w:tab w:val="left" w:pos="3780"/>
              </w:tabs>
              <w:jc w:val="center"/>
              <w:rPr>
                <w:b/>
                <w:sz w:val="26"/>
                <w:lang w:val="vi-VN"/>
              </w:rPr>
            </w:pPr>
            <w:r>
              <w:rPr>
                <w:b/>
                <w:sz w:val="26"/>
                <w:lang w:val="vi-VN"/>
              </w:rPr>
              <w:t>PHÓ GIÁM ĐỐC</w:t>
            </w:r>
          </w:p>
          <w:p>
            <w:pPr>
              <w:tabs>
                <w:tab w:val="left" w:pos="720"/>
                <w:tab w:val="left" w:pos="2140"/>
                <w:tab w:val="left" w:pos="3780"/>
              </w:tabs>
              <w:jc w:val="center"/>
              <w:rPr>
                <w:b/>
                <w:sz w:val="26"/>
                <w:lang w:val="vi-VN"/>
              </w:rPr>
            </w:pPr>
          </w:p>
          <w:p>
            <w:pPr>
              <w:tabs>
                <w:tab w:val="left" w:pos="720"/>
                <w:tab w:val="left" w:pos="2140"/>
                <w:tab w:val="left" w:pos="3780"/>
              </w:tabs>
              <w:jc w:val="center"/>
              <w:rPr>
                <w:b/>
                <w:sz w:val="26"/>
                <w:lang w:val="vi-VN"/>
              </w:rPr>
            </w:pPr>
          </w:p>
          <w:p>
            <w:pPr>
              <w:tabs>
                <w:tab w:val="left" w:pos="720"/>
                <w:tab w:val="left" w:pos="2140"/>
                <w:tab w:val="left" w:pos="3780"/>
              </w:tabs>
              <w:jc w:val="center"/>
              <w:rPr>
                <w:b/>
                <w:sz w:val="26"/>
                <w:lang w:val="vi-VN"/>
              </w:rPr>
            </w:pPr>
          </w:p>
          <w:p>
            <w:pPr>
              <w:tabs>
                <w:tab w:val="left" w:pos="720"/>
                <w:tab w:val="left" w:pos="2140"/>
                <w:tab w:val="left" w:pos="3780"/>
              </w:tabs>
              <w:jc w:val="center"/>
              <w:rPr>
                <w:b/>
                <w:sz w:val="26"/>
                <w:lang w:val="vi-VN"/>
              </w:rPr>
            </w:pPr>
          </w:p>
          <w:p>
            <w:pPr>
              <w:tabs>
                <w:tab w:val="left" w:pos="720"/>
                <w:tab w:val="left" w:pos="2140"/>
                <w:tab w:val="left" w:pos="3780"/>
              </w:tabs>
              <w:jc w:val="center"/>
              <w:rPr>
                <w:b/>
                <w:sz w:val="26"/>
                <w:lang w:val="vi-VN"/>
              </w:rPr>
            </w:pPr>
            <w:bookmarkStart w:id="0" w:name="_GoBack"/>
            <w:bookmarkEnd w:id="0"/>
          </w:p>
          <w:p>
            <w:pPr>
              <w:tabs>
                <w:tab w:val="left" w:pos="720"/>
                <w:tab w:val="left" w:pos="2140"/>
                <w:tab w:val="left" w:pos="3780"/>
              </w:tabs>
              <w:jc w:val="center"/>
              <w:rPr>
                <w:b/>
                <w:sz w:val="28"/>
                <w:szCs w:val="28"/>
              </w:rPr>
            </w:pPr>
            <w:r>
              <w:rPr>
                <w:b/>
                <w:sz w:val="28"/>
                <w:szCs w:val="28"/>
                <w:lang w:val="vi-VN"/>
              </w:rPr>
              <w:t>Nguyễn T</w:t>
            </w:r>
            <w:r>
              <w:rPr>
                <w:b/>
                <w:sz w:val="28"/>
                <w:szCs w:val="28"/>
              </w:rPr>
              <w:t>iến Hùng</w:t>
            </w:r>
          </w:p>
          <w:p>
            <w:pPr>
              <w:tabs>
                <w:tab w:val="left" w:pos="720"/>
                <w:tab w:val="left" w:pos="2140"/>
                <w:tab w:val="left" w:pos="3780"/>
              </w:tabs>
              <w:jc w:val="center"/>
              <w:rPr>
                <w:b/>
                <w:lang w:val="vi-VN"/>
              </w:rPr>
            </w:pPr>
          </w:p>
          <w:p>
            <w:pPr>
              <w:tabs>
                <w:tab w:val="left" w:pos="720"/>
                <w:tab w:val="left" w:pos="2140"/>
                <w:tab w:val="left" w:pos="3780"/>
              </w:tabs>
              <w:jc w:val="center"/>
              <w:rPr>
                <w:b/>
                <w:lang w:val="vi-VN"/>
              </w:rPr>
            </w:pPr>
          </w:p>
          <w:p>
            <w:pPr>
              <w:tabs>
                <w:tab w:val="left" w:pos="720"/>
                <w:tab w:val="left" w:pos="2140"/>
                <w:tab w:val="left" w:pos="3780"/>
              </w:tabs>
              <w:jc w:val="center"/>
              <w:rPr>
                <w:b/>
                <w:lang w:val="vi-VN"/>
              </w:rPr>
            </w:pPr>
          </w:p>
          <w:p>
            <w:pPr>
              <w:tabs>
                <w:tab w:val="left" w:pos="720"/>
                <w:tab w:val="left" w:pos="2140"/>
                <w:tab w:val="left" w:pos="3780"/>
              </w:tabs>
              <w:jc w:val="center"/>
              <w:rPr>
                <w:b/>
                <w:lang w:val="vi-VN"/>
              </w:rPr>
            </w:pPr>
          </w:p>
          <w:p>
            <w:pPr>
              <w:tabs>
                <w:tab w:val="left" w:pos="720"/>
                <w:tab w:val="left" w:pos="2140"/>
                <w:tab w:val="left" w:pos="3780"/>
              </w:tabs>
              <w:jc w:val="center"/>
              <w:rPr>
                <w:b/>
                <w:lang w:val="vi-VN"/>
              </w:rPr>
            </w:pPr>
          </w:p>
          <w:p>
            <w:pPr>
              <w:jc w:val="center"/>
              <w:rPr>
                <w:b/>
                <w:bCs/>
                <w:sz w:val="28"/>
                <w:szCs w:val="28"/>
                <w:lang w:val="vi-VN"/>
              </w:rPr>
            </w:pPr>
          </w:p>
        </w:tc>
      </w:tr>
    </w:tbl>
    <w:p>
      <w:pPr>
        <w:rPr>
          <w:sz w:val="16"/>
          <w:szCs w:val="16"/>
          <w:lang w:val="vi-VN"/>
        </w:rPr>
      </w:pPr>
    </w:p>
    <w:sectPr>
      <w:headerReference w:type="even" r:id="rId9"/>
      <w:headerReference w:type="default" r:id="rId10"/>
      <w:footerReference w:type="even" r:id="rId11"/>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Arial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noProof/>
        <w:sz w:val="28"/>
        <w:szCs w:val="28"/>
      </w:rPr>
      <w:t>8</w:t>
    </w:r>
    <w:r>
      <w:rPr>
        <w:noProof/>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62FF"/>
    <w:multiLevelType w:val="hybridMultilevel"/>
    <w:tmpl w:val="C2A6DE96"/>
    <w:lvl w:ilvl="0" w:tplc="467A47E6">
      <w:start w:val="1"/>
      <w:numFmt w:val="upp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nsid w:val="09B5080F"/>
    <w:multiLevelType w:val="multilevel"/>
    <w:tmpl w:val="A1026794"/>
    <w:lvl w:ilvl="0">
      <w:start w:val="1"/>
      <w:numFmt w:val="decimal"/>
      <w:lvlText w:val="%1."/>
      <w:lvlJc w:val="left"/>
      <w:pPr>
        <w:ind w:left="893" w:hanging="360"/>
      </w:pPr>
      <w:rPr>
        <w:rFonts w:hint="default"/>
        <w:b/>
        <w:bCs/>
      </w:rPr>
    </w:lvl>
    <w:lvl w:ilvl="1">
      <w:start w:val="1"/>
      <w:numFmt w:val="decimal"/>
      <w:isLgl/>
      <w:lvlText w:val="%1.%2."/>
      <w:lvlJc w:val="left"/>
      <w:pPr>
        <w:ind w:left="1170" w:hanging="720"/>
      </w:pPr>
      <w:rPr>
        <w:rFonts w:hint="default"/>
        <w:b/>
        <w:bCs/>
        <w:i/>
        <w:iCs/>
      </w:rPr>
    </w:lvl>
    <w:lvl w:ilvl="2">
      <w:start w:val="1"/>
      <w:numFmt w:val="decimal"/>
      <w:isLgl/>
      <w:lvlText w:val="%1.%2.%3."/>
      <w:lvlJc w:val="left"/>
      <w:pPr>
        <w:ind w:left="1253" w:hanging="720"/>
      </w:pPr>
      <w:rPr>
        <w:rFonts w:hint="default"/>
      </w:rPr>
    </w:lvl>
    <w:lvl w:ilvl="3">
      <w:start w:val="1"/>
      <w:numFmt w:val="decimal"/>
      <w:isLgl/>
      <w:lvlText w:val="%1.%2.%3.%4."/>
      <w:lvlJc w:val="left"/>
      <w:pPr>
        <w:ind w:left="1613" w:hanging="1080"/>
      </w:pPr>
      <w:rPr>
        <w:rFonts w:hint="default"/>
      </w:rPr>
    </w:lvl>
    <w:lvl w:ilvl="4">
      <w:start w:val="1"/>
      <w:numFmt w:val="decimal"/>
      <w:isLgl/>
      <w:lvlText w:val="%1.%2.%3.%4.%5."/>
      <w:lvlJc w:val="left"/>
      <w:pPr>
        <w:ind w:left="1613" w:hanging="1080"/>
      </w:pPr>
      <w:rPr>
        <w:rFonts w:hint="default"/>
      </w:rPr>
    </w:lvl>
    <w:lvl w:ilvl="5">
      <w:start w:val="1"/>
      <w:numFmt w:val="decimal"/>
      <w:isLgl/>
      <w:lvlText w:val="%1.%2.%3.%4.%5.%6."/>
      <w:lvlJc w:val="left"/>
      <w:pPr>
        <w:ind w:left="1973" w:hanging="1440"/>
      </w:pPr>
      <w:rPr>
        <w:rFonts w:hint="default"/>
      </w:rPr>
    </w:lvl>
    <w:lvl w:ilvl="6">
      <w:start w:val="1"/>
      <w:numFmt w:val="decimal"/>
      <w:isLgl/>
      <w:lvlText w:val="%1.%2.%3.%4.%5.%6.%7."/>
      <w:lvlJc w:val="left"/>
      <w:pPr>
        <w:ind w:left="2333" w:hanging="1800"/>
      </w:pPr>
      <w:rPr>
        <w:rFonts w:hint="default"/>
      </w:rPr>
    </w:lvl>
    <w:lvl w:ilvl="7">
      <w:start w:val="1"/>
      <w:numFmt w:val="decimal"/>
      <w:isLgl/>
      <w:lvlText w:val="%1.%2.%3.%4.%5.%6.%7.%8."/>
      <w:lvlJc w:val="left"/>
      <w:pPr>
        <w:ind w:left="2333" w:hanging="1800"/>
      </w:pPr>
      <w:rPr>
        <w:rFonts w:hint="default"/>
      </w:rPr>
    </w:lvl>
    <w:lvl w:ilvl="8">
      <w:start w:val="1"/>
      <w:numFmt w:val="decimal"/>
      <w:isLgl/>
      <w:lvlText w:val="%1.%2.%3.%4.%5.%6.%7.%8.%9."/>
      <w:lvlJc w:val="left"/>
      <w:pPr>
        <w:ind w:left="2693" w:hanging="2160"/>
      </w:pPr>
      <w:rPr>
        <w:rFonts w:hint="default"/>
      </w:rPr>
    </w:lvl>
  </w:abstractNum>
  <w:abstractNum w:abstractNumId="2">
    <w:nsid w:val="15784FFD"/>
    <w:multiLevelType w:val="hybridMultilevel"/>
    <w:tmpl w:val="B5C83722"/>
    <w:lvl w:ilvl="0" w:tplc="783C0C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E8D1A67"/>
    <w:multiLevelType w:val="hybridMultilevel"/>
    <w:tmpl w:val="13200EFE"/>
    <w:lvl w:ilvl="0" w:tplc="0409000F">
      <w:start w:val="1"/>
      <w:numFmt w:val="decimal"/>
      <w:lvlText w:val="%1."/>
      <w:lvlJc w:val="left"/>
      <w:pPr>
        <w:tabs>
          <w:tab w:val="num" w:pos="1429"/>
        </w:tabs>
        <w:ind w:left="1429" w:hanging="360"/>
      </w:p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4">
    <w:nsid w:val="32C74959"/>
    <w:multiLevelType w:val="hybridMultilevel"/>
    <w:tmpl w:val="D07249C2"/>
    <w:lvl w:ilvl="0" w:tplc="E5DE2BFA">
      <w:start w:val="1"/>
      <w:numFmt w:val="decimal"/>
      <w:lvlText w:val="Điều %1."/>
      <w:lvlJc w:val="left"/>
      <w:pPr>
        <w:ind w:left="126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354D00"/>
    <w:multiLevelType w:val="hybridMultilevel"/>
    <w:tmpl w:val="93FA7E6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4D9E735D"/>
    <w:multiLevelType w:val="hybridMultilevel"/>
    <w:tmpl w:val="228802B8"/>
    <w:lvl w:ilvl="0" w:tplc="B6D6C21C">
      <w:start w:val="1"/>
      <w:numFmt w:val="decimal"/>
      <w:lvlText w:val="2.%1."/>
      <w:lvlJc w:val="left"/>
      <w:pPr>
        <w:ind w:left="1069"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984E91"/>
    <w:multiLevelType w:val="hybridMultilevel"/>
    <w:tmpl w:val="5A165E1E"/>
    <w:lvl w:ilvl="0" w:tplc="9F5ACF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CB602A0"/>
    <w:multiLevelType w:val="hybridMultilevel"/>
    <w:tmpl w:val="515800A6"/>
    <w:lvl w:ilvl="0" w:tplc="DC346E3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nsid w:val="63062E29"/>
    <w:multiLevelType w:val="multilevel"/>
    <w:tmpl w:val="462671FE"/>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71202E8C"/>
    <w:multiLevelType w:val="hybridMultilevel"/>
    <w:tmpl w:val="79AC5DFE"/>
    <w:lvl w:ilvl="0" w:tplc="7C5C6A0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nsid w:val="7F55281C"/>
    <w:multiLevelType w:val="multilevel"/>
    <w:tmpl w:val="4A1208CA"/>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11"/>
  </w:num>
  <w:num w:numId="7">
    <w:abstractNumId w:val="9"/>
  </w:num>
  <w:num w:numId="8">
    <w:abstractNumId w:val="8"/>
  </w:num>
  <w:num w:numId="9">
    <w:abstractNumId w:val="7"/>
  </w:num>
  <w:num w:numId="10">
    <w:abstractNumId w:val="2"/>
  </w:num>
  <w:num w:numId="11">
    <w:abstractNumId w:val="0"/>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pPr>
      <w:keepNext/>
      <w:outlineLvl w:val="0"/>
    </w:pPr>
    <w:rPr>
      <w:rFonts w:ascii=".VnTimeH" w:hAnsi=".VnTimeH"/>
      <w:b/>
      <w:sz w:val="26"/>
      <w:szCs w:val="20"/>
    </w:rPr>
  </w:style>
  <w:style w:type="paragraph" w:styleId="Heading2">
    <w:name w:val="heading 2"/>
    <w:basedOn w:val="Normal"/>
    <w:next w:val="Normal"/>
    <w:link w:val="Heading2Char"/>
    <w:qFormat/>
    <w:pPr>
      <w:keepNext/>
      <w:jc w:val="center"/>
      <w:outlineLvl w:val="1"/>
    </w:pPr>
    <w:rPr>
      <w:rFonts w:ascii=".VnTime" w:hAnsi=".VnTime"/>
      <w:b/>
      <w:sz w:val="28"/>
      <w:szCs w:val="20"/>
    </w:rPr>
  </w:style>
  <w:style w:type="paragraph" w:styleId="Heading3">
    <w:name w:val="heading 3"/>
    <w:basedOn w:val="Normal"/>
    <w:next w:val="Normal"/>
    <w:link w:val="Heading3Char"/>
    <w:qFormat/>
    <w:pPr>
      <w:keepNext/>
      <w:ind w:hanging="993"/>
      <w:outlineLvl w:val="2"/>
    </w:pPr>
    <w:rPr>
      <w:rFonts w:ascii=".VnTimeH" w:hAnsi=".VnTimeH"/>
      <w:b/>
      <w:sz w:val="26"/>
      <w:szCs w:val="20"/>
    </w:rPr>
  </w:style>
  <w:style w:type="paragraph" w:styleId="Heading4">
    <w:name w:val="heading 4"/>
    <w:basedOn w:val="Normal"/>
    <w:next w:val="Normal"/>
    <w:link w:val="Heading4Char"/>
    <w:qFormat/>
    <w:pPr>
      <w:keepNext/>
      <w:outlineLvl w:val="3"/>
    </w:pPr>
    <w:rPr>
      <w:rFonts w:ascii=".VnTime" w:hAnsi=".VnTime"/>
      <w:b/>
      <w:sz w:val="28"/>
    </w:rPr>
  </w:style>
  <w:style w:type="paragraph" w:styleId="Heading5">
    <w:name w:val="heading 5"/>
    <w:basedOn w:val="Normal"/>
    <w:next w:val="Normal"/>
    <w:link w:val="Heading5Char"/>
    <w:qFormat/>
    <w:pPr>
      <w:keepNext/>
      <w:spacing w:before="120" w:after="120" w:line="320" w:lineRule="exact"/>
      <w:ind w:left="-601" w:hanging="1072"/>
      <w:jc w:val="center"/>
      <w:outlineLvl w:val="4"/>
    </w:pPr>
    <w:rPr>
      <w:rFonts w:ascii=".VnTimeH" w:hAnsi=".VnTimeH"/>
      <w:b/>
      <w:bCs/>
      <w:sz w:val="26"/>
    </w:rPr>
  </w:style>
  <w:style w:type="paragraph" w:styleId="Heading6">
    <w:name w:val="heading 6"/>
    <w:basedOn w:val="Normal"/>
    <w:next w:val="Normal"/>
    <w:link w:val="Heading6Char"/>
    <w:qFormat/>
    <w:pPr>
      <w:keepNext/>
      <w:spacing w:line="400" w:lineRule="exact"/>
      <w:ind w:left="-112" w:right="-136"/>
      <w:jc w:val="center"/>
      <w:outlineLvl w:val="5"/>
    </w:pPr>
    <w:rPr>
      <w:rFonts w:ascii=".VnArial Narrow" w:hAnsi=".VnArial Narrow"/>
      <w:b/>
      <w:bCs/>
      <w:sz w:val="28"/>
    </w:rPr>
  </w:style>
  <w:style w:type="paragraph" w:styleId="Heading8">
    <w:name w:val="heading 8"/>
    <w:basedOn w:val="Normal"/>
    <w:next w:val="Normal"/>
    <w:link w:val="Heading8Char"/>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pPr>
      <w:spacing w:after="120" w:line="480" w:lineRule="auto"/>
      <w:ind w:left="360"/>
    </w:pPr>
    <w:rPr>
      <w:rFonts w:ascii="Calibri" w:eastAsia="Calibri" w:hAnsi="Calibri"/>
      <w:lang w:val="x-none" w:eastAsia="x-none"/>
    </w:rPr>
  </w:style>
  <w:style w:type="character" w:customStyle="1" w:styleId="apple-converted-space">
    <w:name w:val="apple-converted-space"/>
  </w:style>
  <w:style w:type="character" w:customStyle="1" w:styleId="BodyTextIndent2Char">
    <w:name w:val="Body Text Indent 2 Char"/>
    <w:link w:val="BodyTextIndent2"/>
    <w:locked/>
    <w:rPr>
      <w:sz w:val="24"/>
      <w:szCs w:val="24"/>
      <w:lang w:bidi="ar-SA"/>
    </w:rPr>
  </w:style>
  <w:style w:type="paragraph" w:customStyle="1" w:styleId="Char">
    <w:name w:val="Char"/>
    <w:basedOn w:val="Normal"/>
    <w:pPr>
      <w:spacing w:after="160" w:line="240" w:lineRule="exact"/>
    </w:pPr>
    <w:rPr>
      <w:rFonts w:ascii="Arial" w:eastAsia="Calibri" w:hAnsi="Arial" w:cs="Arial"/>
      <w:sz w:val="22"/>
      <w:szCs w:val="22"/>
    </w:rPr>
  </w:style>
  <w:style w:type="paragraph" w:styleId="NormalWeb">
    <w:name w:val="Normal (Web)"/>
    <w:basedOn w:val="Normal"/>
    <w:link w:val="NormalWebChar"/>
    <w:uiPriority w:val="99"/>
    <w:pPr>
      <w:spacing w:before="100" w:beforeAutospacing="1" w:after="100" w:afterAutospacing="1"/>
    </w:pPr>
    <w:rPr>
      <w:rFonts w:eastAsia="Calibri"/>
    </w:rPr>
  </w:style>
  <w:style w:type="character" w:styleId="Strong">
    <w:name w:val="Strong"/>
    <w:qFormat/>
    <w:rPr>
      <w:b/>
      <w:bC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unhideWhenUsed/>
    <w:pPr>
      <w:spacing w:after="120"/>
      <w:ind w:left="360"/>
    </w:pPr>
    <w:rPr>
      <w:lang w:val="x-none" w:eastAsia="x-none"/>
    </w:rPr>
  </w:style>
  <w:style w:type="character" w:customStyle="1" w:styleId="BodyTextIndentChar">
    <w:name w:val="Body Text Indent Char"/>
    <w:link w:val="BodyTextIndent"/>
    <w:rPr>
      <w:rFonts w:ascii="Times New Roman" w:eastAsia="Times New Roman" w:hAnsi="Times New Roman"/>
      <w:sz w:val="24"/>
      <w:szCs w:val="24"/>
    </w:rPr>
  </w:style>
  <w:style w:type="paragraph" w:customStyle="1" w:styleId="Char1">
    <w:name w:val="Char1"/>
    <w:basedOn w:val="Normal"/>
    <w:semiHidden/>
    <w:pPr>
      <w:spacing w:after="160" w:line="240" w:lineRule="exact"/>
    </w:pPr>
    <w:rPr>
      <w:rFonts w:ascii="Arial" w:hAnsi="Arial"/>
      <w:sz w:val="22"/>
      <w:szCs w:val="22"/>
    </w:rPr>
  </w:style>
  <w:style w:type="paragraph" w:styleId="Header">
    <w:name w:val="header"/>
    <w:basedOn w:val="Normal"/>
    <w:link w:val="HeaderChar"/>
    <w:uiPriority w:val="99"/>
    <w:pPr>
      <w:tabs>
        <w:tab w:val="center" w:pos="4320"/>
        <w:tab w:val="right" w:pos="8640"/>
      </w:tabs>
    </w:pPr>
    <w:rPr>
      <w:lang w:val="x-none" w:eastAsia="x-none"/>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customStyle="1" w:styleId="msolistparagraph0">
    <w:name w:val="msolistparagraph"/>
    <w:basedOn w:val="Normal"/>
    <w:pPr>
      <w:spacing w:after="200" w:line="276" w:lineRule="auto"/>
      <w:ind w:left="720"/>
      <w:contextualSpacing/>
    </w:pPr>
    <w:rPr>
      <w:rFonts w:ascii="Calibri" w:hAnsi="Calibri"/>
      <w:sz w:val="22"/>
      <w:szCs w:val="22"/>
    </w:rPr>
  </w:style>
  <w:style w:type="paragraph" w:styleId="FootnoteText">
    <w:name w:val="footnote text"/>
    <w:basedOn w:val="Normal"/>
    <w:link w:val="FootnoteTextChar"/>
    <w:unhideWhenUsed/>
    <w:rPr>
      <w:sz w:val="20"/>
      <w:szCs w:val="20"/>
      <w:lang w:val="x-none" w:eastAsia="x-none"/>
    </w:rPr>
  </w:style>
  <w:style w:type="character" w:customStyle="1" w:styleId="FootnoteTextChar">
    <w:name w:val="Footnote Text Char"/>
    <w:link w:val="FootnoteText"/>
    <w:rPr>
      <w:rFonts w:ascii="Times New Roman" w:eastAsia="Times New Roman" w:hAnsi="Times New Roman"/>
    </w:rPr>
  </w:style>
  <w:style w:type="character" w:styleId="FootnoteReference">
    <w:name w:val="footnote reference"/>
    <w:semiHidden/>
    <w:unhideWhenUsed/>
    <w:rPr>
      <w:vertAlign w:val="superscript"/>
    </w:rPr>
  </w:style>
  <w:style w:type="paragraph" w:styleId="BalloonText">
    <w:name w:val="Balloon Text"/>
    <w:basedOn w:val="Normal"/>
    <w:link w:val="BalloonTextChar"/>
    <w:rPr>
      <w:rFonts w:ascii="Tahoma" w:hAnsi="Tahoma" w:cs="Tahoma"/>
      <w:sz w:val="16"/>
      <w:szCs w:val="16"/>
    </w:rPr>
  </w:style>
  <w:style w:type="paragraph" w:customStyle="1" w:styleId="CharChar">
    <w:name w:val="Char Char"/>
    <w:basedOn w:val="Normal"/>
    <w:semiHidden/>
    <w:pPr>
      <w:spacing w:after="160" w:line="240" w:lineRule="exact"/>
    </w:pPr>
    <w:rPr>
      <w:rFonts w:ascii="Arial" w:hAnsi="Arial"/>
      <w:sz w:val="22"/>
      <w:szCs w:val="22"/>
    </w:rPr>
  </w:style>
  <w:style w:type="character" w:customStyle="1" w:styleId="HeaderChar">
    <w:name w:val="Header Char"/>
    <w:link w:val="Header"/>
    <w:uiPriority w:val="99"/>
    <w:rPr>
      <w:rFonts w:ascii="Times New Roman" w:eastAsia="Times New Roman" w:hAnsi="Times New Roman"/>
      <w:sz w:val="24"/>
      <w:szCs w:val="24"/>
    </w:rPr>
  </w:style>
  <w:style w:type="character" w:customStyle="1" w:styleId="Heading1Char">
    <w:name w:val="Heading 1 Char"/>
    <w:link w:val="Heading1"/>
    <w:rPr>
      <w:rFonts w:ascii=".VnTimeH" w:eastAsia="Times New Roman" w:hAnsi=".VnTimeH"/>
      <w:b/>
      <w:sz w:val="26"/>
    </w:rPr>
  </w:style>
  <w:style w:type="character" w:customStyle="1" w:styleId="Heading2Char">
    <w:name w:val="Heading 2 Char"/>
    <w:link w:val="Heading2"/>
    <w:rPr>
      <w:rFonts w:ascii=".VnTime" w:eastAsia="Times New Roman" w:hAnsi=".VnTime"/>
      <w:b/>
      <w:sz w:val="28"/>
    </w:rPr>
  </w:style>
  <w:style w:type="character" w:customStyle="1" w:styleId="Heading3Char">
    <w:name w:val="Heading 3 Char"/>
    <w:link w:val="Heading3"/>
    <w:rPr>
      <w:rFonts w:ascii=".VnTimeH" w:eastAsia="Times New Roman" w:hAnsi=".VnTimeH"/>
      <w:b/>
      <w:sz w:val="26"/>
    </w:rPr>
  </w:style>
  <w:style w:type="character" w:customStyle="1" w:styleId="Heading4Char">
    <w:name w:val="Heading 4 Char"/>
    <w:link w:val="Heading4"/>
    <w:rPr>
      <w:rFonts w:ascii=".VnTime" w:eastAsia="Times New Roman" w:hAnsi=".VnTime"/>
      <w:b/>
      <w:sz w:val="28"/>
      <w:szCs w:val="24"/>
    </w:rPr>
  </w:style>
  <w:style w:type="character" w:customStyle="1" w:styleId="Heading5Char">
    <w:name w:val="Heading 5 Char"/>
    <w:link w:val="Heading5"/>
    <w:rPr>
      <w:rFonts w:ascii=".VnTimeH" w:eastAsia="Times New Roman" w:hAnsi=".VnTimeH"/>
      <w:b/>
      <w:bCs/>
      <w:sz w:val="26"/>
      <w:szCs w:val="24"/>
    </w:rPr>
  </w:style>
  <w:style w:type="character" w:customStyle="1" w:styleId="Heading6Char">
    <w:name w:val="Heading 6 Char"/>
    <w:link w:val="Heading6"/>
    <w:rPr>
      <w:rFonts w:ascii=".VnArial Narrow" w:eastAsia="Times New Roman" w:hAnsi=".VnArial Narrow"/>
      <w:b/>
      <w:bCs/>
      <w:sz w:val="28"/>
      <w:szCs w:val="24"/>
    </w:rPr>
  </w:style>
  <w:style w:type="character" w:customStyle="1" w:styleId="Heading8Char">
    <w:name w:val="Heading 8 Char"/>
    <w:link w:val="Heading8"/>
    <w:rPr>
      <w:rFonts w:ascii="Times New Roman" w:eastAsia="Times New Roman" w:hAnsi="Times New Roman"/>
      <w:i/>
      <w:iCs/>
      <w:sz w:val="24"/>
      <w:szCs w:val="24"/>
    </w:rPr>
  </w:style>
  <w:style w:type="numbering" w:customStyle="1" w:styleId="NoList1">
    <w:name w:val="No List1"/>
    <w:next w:val="NoList"/>
    <w:uiPriority w:val="99"/>
    <w:semiHidden/>
    <w:unhideWhenUsed/>
  </w:style>
  <w:style w:type="paragraph" w:styleId="BodyText">
    <w:name w:val="Body Text"/>
    <w:basedOn w:val="Normal"/>
    <w:link w:val="BodyTextChar"/>
    <w:pPr>
      <w:jc w:val="both"/>
    </w:pPr>
    <w:rPr>
      <w:rFonts w:ascii=".VnTime" w:hAnsi=".VnTime"/>
      <w:sz w:val="28"/>
      <w:szCs w:val="20"/>
    </w:rPr>
  </w:style>
  <w:style w:type="character" w:customStyle="1" w:styleId="BodyTextChar">
    <w:name w:val="Body Text Char"/>
    <w:link w:val="BodyText"/>
    <w:rPr>
      <w:rFonts w:ascii=".VnTime" w:eastAsia="Times New Roman" w:hAnsi=".VnTime"/>
      <w:sz w:val="28"/>
    </w:rPr>
  </w:style>
  <w:style w:type="paragraph" w:styleId="BodyTextIndent3">
    <w:name w:val="Body Text Indent 3"/>
    <w:basedOn w:val="Normal"/>
    <w:link w:val="BodyTextIndent3Char"/>
    <w:pPr>
      <w:spacing w:line="360" w:lineRule="exact"/>
      <w:ind w:firstLine="335"/>
      <w:jc w:val="both"/>
    </w:pPr>
    <w:rPr>
      <w:rFonts w:ascii=".VnTime" w:hAnsi=".VnTime"/>
      <w:sz w:val="28"/>
    </w:rPr>
  </w:style>
  <w:style w:type="character" w:customStyle="1" w:styleId="BodyTextIndent3Char">
    <w:name w:val="Body Text Indent 3 Char"/>
    <w:link w:val="BodyTextIndent3"/>
    <w:rPr>
      <w:rFonts w:ascii=".VnTime" w:eastAsia="Times New Roman" w:hAnsi=".VnTime"/>
      <w:sz w:val="28"/>
      <w:szCs w:val="24"/>
    </w:rPr>
  </w:style>
  <w:style w:type="character" w:customStyle="1" w:styleId="FooterChar">
    <w:name w:val="Footer Char"/>
    <w:link w:val="Footer"/>
    <w:uiPriority w:val="99"/>
    <w:rPr>
      <w:rFonts w:ascii="Times New Roman" w:eastAsia="Times New Roman" w:hAnsi="Times New Roman"/>
      <w:sz w:val="24"/>
      <w:szCs w:val="24"/>
    </w:rPr>
  </w:style>
  <w:style w:type="paragraph" w:styleId="BodyText2">
    <w:name w:val="Body Text 2"/>
    <w:basedOn w:val="Normal"/>
    <w:link w:val="BodyText2Char"/>
    <w:pPr>
      <w:spacing w:line="380" w:lineRule="exact"/>
      <w:jc w:val="center"/>
    </w:pPr>
    <w:rPr>
      <w:rFonts w:ascii=".VnTime" w:hAnsi=".VnTime"/>
      <w:b/>
      <w:bCs/>
      <w:sz w:val="28"/>
    </w:rPr>
  </w:style>
  <w:style w:type="character" w:customStyle="1" w:styleId="BodyText2Char">
    <w:name w:val="Body Text 2 Char"/>
    <w:link w:val="BodyText2"/>
    <w:rPr>
      <w:rFonts w:ascii=".VnTime" w:eastAsia="Times New Roman" w:hAnsi=".VnTime"/>
      <w:b/>
      <w:bCs/>
      <w:sz w:val="28"/>
      <w:szCs w:val="24"/>
    </w:rPr>
  </w:style>
  <w:style w:type="table" w:styleId="TableGrid">
    <w:name w:val="Table Grid"/>
    <w:basedOn w:val="TableNormal"/>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Char Char Char Char Char Char Char"/>
    <w:basedOn w:val="Normal"/>
    <w:semiHidden/>
    <w:pPr>
      <w:spacing w:after="160" w:line="240" w:lineRule="exact"/>
    </w:pPr>
    <w:rPr>
      <w:rFonts w:ascii="Arial" w:hAnsi="Arial"/>
      <w:sz w:val="22"/>
      <w:szCs w:val="22"/>
    </w:rPr>
  </w:style>
  <w:style w:type="paragraph" w:customStyle="1" w:styleId="CharCharCharCharCharCharCharCharCharCharCharCharCharCharCharChar">
    <w:name w:val="Char Char Char Char Char Char Char Char Char Char Char Char Char Char Char Char"/>
    <w:basedOn w:val="Normal"/>
    <w:next w:val="Normal"/>
    <w:autoRedefine/>
    <w:semiHidden/>
    <w:pPr>
      <w:spacing w:before="120" w:after="120" w:line="312" w:lineRule="auto"/>
    </w:pPr>
    <w:rPr>
      <w:color w:val="0000FF"/>
      <w:spacing w:val="-8"/>
      <w:sz w:val="28"/>
      <w:szCs w:val="22"/>
    </w:rPr>
  </w:style>
  <w:style w:type="paragraph" w:customStyle="1" w:styleId="CharCharCharChar">
    <w:name w:val="Char Char Char Char"/>
    <w:basedOn w:val="Normal"/>
    <w:pPr>
      <w:spacing w:after="160" w:line="240" w:lineRule="exact"/>
    </w:pPr>
    <w:rPr>
      <w:rFonts w:ascii="Verdana" w:hAnsi="Verdana"/>
      <w:sz w:val="20"/>
      <w:szCs w:val="20"/>
    </w:rPr>
  </w:style>
  <w:style w:type="character" w:customStyle="1" w:styleId="BalloonTextChar">
    <w:name w:val="Balloon Text Char"/>
    <w:link w:val="BalloonText"/>
    <w:rPr>
      <w:rFonts w:ascii="Tahoma" w:eastAsia="Times New Roman" w:hAnsi="Tahoma" w:cs="Tahoma"/>
      <w:sz w:val="16"/>
      <w:szCs w:val="16"/>
    </w:rPr>
  </w:style>
  <w:style w:type="paragraph" w:styleId="Title">
    <w:name w:val="Title"/>
    <w:basedOn w:val="Normal"/>
    <w:link w:val="TitleChar"/>
    <w:qFormat/>
    <w:pPr>
      <w:spacing w:after="120"/>
      <w:jc w:val="center"/>
    </w:pPr>
    <w:rPr>
      <w:rFonts w:ascii=".VnArialH" w:hAnsi=".VnArialH"/>
      <w:b/>
      <w:sz w:val="28"/>
      <w:szCs w:val="20"/>
      <w:lang w:val="x-none" w:eastAsia="x-none"/>
    </w:rPr>
  </w:style>
  <w:style w:type="character" w:customStyle="1" w:styleId="TitleChar">
    <w:name w:val="Title Char"/>
    <w:link w:val="Title"/>
    <w:rPr>
      <w:rFonts w:ascii=".VnArialH" w:eastAsia="Times New Roman" w:hAnsi=".VnArialH"/>
      <w:b/>
      <w:sz w:val="28"/>
      <w:lang w:val="x-none" w:eastAsia="x-none"/>
    </w:rPr>
  </w:style>
  <w:style w:type="paragraph" w:customStyle="1" w:styleId="1Char">
    <w:name w:val="1 Char"/>
    <w:basedOn w:val="DocumentMap"/>
    <w:autoRedefine/>
    <w:pPr>
      <w:widowControl w:val="0"/>
      <w:shd w:val="clear" w:color="auto" w:fill="000080"/>
      <w:jc w:val="both"/>
    </w:pPr>
    <w:rPr>
      <w:rFonts w:eastAsia="SimSun"/>
      <w:kern w:val="2"/>
      <w:sz w:val="24"/>
      <w:szCs w:val="24"/>
      <w:lang w:eastAsia="zh-CN"/>
    </w:rPr>
  </w:style>
  <w:style w:type="paragraph" w:styleId="DocumentMap">
    <w:name w:val="Document Map"/>
    <w:basedOn w:val="Normal"/>
    <w:link w:val="DocumentMapChar"/>
    <w:rPr>
      <w:rFonts w:ascii="Tahoma" w:hAnsi="Tahoma"/>
      <w:sz w:val="16"/>
      <w:szCs w:val="16"/>
      <w:lang w:val="x-none" w:eastAsia="x-none"/>
    </w:rPr>
  </w:style>
  <w:style w:type="character" w:customStyle="1" w:styleId="DocumentMapChar">
    <w:name w:val="Document Map Char"/>
    <w:link w:val="DocumentMap"/>
    <w:rPr>
      <w:rFonts w:ascii="Tahoma" w:eastAsia="Times New Roman" w:hAnsi="Tahoma"/>
      <w:sz w:val="16"/>
      <w:szCs w:val="16"/>
      <w:lang w:val="x-none" w:eastAsia="x-none"/>
    </w:rPr>
  </w:style>
  <w:style w:type="paragraph" w:customStyle="1" w:styleId="Normal1">
    <w:name w:val="Normal1"/>
    <w:basedOn w:val="Normal"/>
    <w:pPr>
      <w:spacing w:before="100" w:beforeAutospacing="1" w:after="100" w:afterAutospacing="1"/>
    </w:pPr>
    <w:rPr>
      <w:color w:val="000000"/>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character" w:customStyle="1" w:styleId="CharChar1">
    <w:name w:val="Char Char1"/>
    <w:locked/>
    <w:rPr>
      <w:rFonts w:ascii=".VnArialH" w:hAnsi=".VnArialH"/>
      <w:b/>
      <w:sz w:val="28"/>
      <w:lang w:val="en-US" w:eastAsia="en-US" w:bidi="ar-SA"/>
    </w:rPr>
  </w:style>
  <w:style w:type="character" w:customStyle="1" w:styleId="CharChar0">
    <w:name w:val="Char Char"/>
    <w:locked/>
    <w:rPr>
      <w:rFonts w:ascii="Tahoma" w:hAnsi="Tahoma" w:cs="Tahoma"/>
      <w:sz w:val="16"/>
      <w:szCs w:val="16"/>
      <w:lang w:val="en-US" w:eastAsia="en-US" w:bidi="ar-SA"/>
    </w:rPr>
  </w:style>
  <w:style w:type="character" w:styleId="CommentReference">
    <w:name w:val="annotation reference"/>
    <w:rPr>
      <w:sz w:val="16"/>
      <w:szCs w:val="16"/>
    </w:rPr>
  </w:style>
  <w:style w:type="paragraph" w:styleId="CommentText">
    <w:name w:val="annotation text"/>
    <w:basedOn w:val="Normal"/>
    <w:link w:val="CommentTextChar"/>
    <w:rPr>
      <w:rFonts w:ascii=".VnTime" w:hAnsi=".VnTime"/>
      <w:sz w:val="20"/>
      <w:szCs w:val="20"/>
    </w:rPr>
  </w:style>
  <w:style w:type="character" w:customStyle="1" w:styleId="CommentTextChar">
    <w:name w:val="Comment Text Char"/>
    <w:link w:val="CommentText"/>
    <w:rPr>
      <w:rFonts w:ascii=".VnTime" w:eastAsia="Times New Roman" w:hAnsi=".VnTim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VnTime" w:eastAsia="Times New Roman" w:hAnsi=".VnTime"/>
      <w:b/>
      <w:bC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next w:val="Header"/>
    <w:semiHidden/>
    <w:pPr>
      <w:spacing w:after="160" w:line="240" w:lineRule="exact"/>
    </w:pPr>
    <w:rPr>
      <w:sz w:val="28"/>
      <w:szCs w:val="22"/>
    </w:rPr>
  </w:style>
  <w:style w:type="paragraph" w:customStyle="1" w:styleId="msonormal0">
    <w:name w:val="msonormal"/>
    <w:basedOn w:val="Normal"/>
    <w:pPr>
      <w:spacing w:before="100" w:beforeAutospacing="1" w:after="100" w:afterAutospacing="1"/>
    </w:pPr>
  </w:style>
  <w:style w:type="paragraph" w:customStyle="1" w:styleId="xl164">
    <w:name w:val="xl164"/>
    <w:basedOn w:val="Normal"/>
    <w:pPr>
      <w:shd w:val="clear" w:color="000000" w:fill="FFFFFF"/>
      <w:spacing w:before="100" w:beforeAutospacing="1" w:after="100" w:afterAutospacing="1"/>
    </w:pPr>
  </w:style>
  <w:style w:type="paragraph" w:customStyle="1" w:styleId="xl165">
    <w:name w:val="xl165"/>
    <w:basedOn w:val="Normal"/>
    <w:pPr>
      <w:shd w:val="clear" w:color="000000" w:fill="FFFFFF"/>
      <w:spacing w:before="100" w:beforeAutospacing="1" w:after="100" w:afterAutospacing="1"/>
      <w:jc w:val="center"/>
    </w:pPr>
  </w:style>
  <w:style w:type="paragraph" w:customStyle="1" w:styleId="xl166">
    <w:name w:val="xl166"/>
    <w:basedOn w:val="Normal"/>
    <w:pPr>
      <w:shd w:val="clear" w:color="000000" w:fill="FFFFFF"/>
      <w:spacing w:before="100" w:beforeAutospacing="1" w:after="100" w:afterAutospacing="1"/>
    </w:pPr>
    <w:rPr>
      <w:rFonts w:ascii="Calibri" w:hAnsi="Calibri" w:cs="Calibri"/>
      <w:color w:val="000000"/>
      <w:sz w:val="22"/>
      <w:szCs w:val="22"/>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70">
    <w:name w:val="xl17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71">
    <w:name w:val="xl1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2">
    <w:name w:val="xl172"/>
    <w:basedOn w:val="Normal"/>
    <w:pPr>
      <w:shd w:val="clear" w:color="000000" w:fill="FFFFFF"/>
      <w:spacing w:before="100" w:beforeAutospacing="1" w:after="100" w:afterAutospacing="1"/>
    </w:pPr>
    <w:rPr>
      <w:b/>
      <w:bCs/>
    </w:rPr>
  </w:style>
  <w:style w:type="paragraph" w:customStyle="1" w:styleId="xl173">
    <w:name w:val="xl173"/>
    <w:basedOn w:val="Normal"/>
    <w:pPr>
      <w:shd w:val="clear" w:color="000000" w:fill="FFFFFF"/>
      <w:spacing w:before="100" w:beforeAutospacing="1" w:after="100" w:afterAutospacing="1"/>
    </w:pPr>
  </w:style>
  <w:style w:type="paragraph" w:customStyle="1" w:styleId="xl174">
    <w:name w:val="xl174"/>
    <w:basedOn w:val="Normal"/>
    <w:pPr>
      <w:shd w:val="clear" w:color="000000" w:fill="FFFFFF"/>
      <w:spacing w:before="100" w:beforeAutospacing="1" w:after="100" w:afterAutospacing="1"/>
      <w:jc w:val="center"/>
      <w:textAlignment w:val="center"/>
    </w:pPr>
    <w:rPr>
      <w:rFonts w:ascii="Arial" w:hAnsi="Arial" w:cs="Arial"/>
      <w:sz w:val="22"/>
      <w:szCs w:val="22"/>
    </w:rPr>
  </w:style>
  <w:style w:type="paragraph" w:customStyle="1" w:styleId="xl175">
    <w:name w:val="xl175"/>
    <w:basedOn w:val="Normal"/>
    <w:pPr>
      <w:shd w:val="clear" w:color="000000" w:fill="FFFFFF"/>
      <w:spacing w:before="100" w:beforeAutospacing="1" w:after="100" w:afterAutospacing="1"/>
    </w:pPr>
  </w:style>
  <w:style w:type="paragraph" w:customStyle="1" w:styleId="xl176">
    <w:name w:val="xl176"/>
    <w:basedOn w:val="Normal"/>
    <w:pPr>
      <w:shd w:val="clear" w:color="000000" w:fill="FFFFFF"/>
      <w:spacing w:before="100" w:beforeAutospacing="1" w:after="100" w:afterAutospacing="1"/>
    </w:pPr>
    <w:rPr>
      <w:b/>
      <w:bCs/>
      <w:i/>
      <w:iCs/>
      <w:sz w:val="22"/>
      <w:szCs w:val="22"/>
    </w:rPr>
  </w:style>
  <w:style w:type="paragraph" w:customStyle="1" w:styleId="xl177">
    <w:name w:val="xl177"/>
    <w:basedOn w:val="Normal"/>
    <w:pPr>
      <w:shd w:val="clear" w:color="000000" w:fill="FFFFFF"/>
      <w:spacing w:before="100" w:beforeAutospacing="1" w:after="100" w:afterAutospacing="1"/>
    </w:pPr>
    <w:rPr>
      <w:b/>
      <w:bCs/>
      <w:i/>
      <w:iCs/>
    </w:rPr>
  </w:style>
  <w:style w:type="paragraph" w:customStyle="1" w:styleId="xl178">
    <w:name w:val="xl178"/>
    <w:basedOn w:val="Normal"/>
    <w:pPr>
      <w:shd w:val="clear" w:color="000000" w:fill="FFFFFF"/>
      <w:spacing w:before="100" w:beforeAutospacing="1" w:after="100" w:afterAutospacing="1"/>
      <w:jc w:val="center"/>
      <w:textAlignment w:val="center"/>
    </w:pPr>
    <w:rPr>
      <w:rFonts w:ascii="Arial" w:hAnsi="Arial" w:cs="Arial"/>
      <w:b/>
      <w:bCs/>
      <w:i/>
      <w:iCs/>
      <w:sz w:val="22"/>
      <w:szCs w:val="22"/>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80">
    <w:name w:val="xl180"/>
    <w:basedOn w:val="Normal"/>
    <w:pPr>
      <w:shd w:val="clear" w:color="000000" w:fill="FFFFFF"/>
      <w:spacing w:before="100" w:beforeAutospacing="1" w:after="100" w:afterAutospacing="1"/>
    </w:pPr>
    <w:rPr>
      <w:b/>
      <w:bCs/>
      <w:i/>
      <w:iCs/>
      <w:sz w:val="22"/>
      <w:szCs w:val="22"/>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2">
    <w:name w:val="xl18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83">
    <w:name w:val="xl1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6">
    <w:name w:val="xl18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sz w:val="22"/>
      <w:szCs w:val="22"/>
    </w:rPr>
  </w:style>
  <w:style w:type="paragraph" w:customStyle="1" w:styleId="xl187">
    <w:name w:val="xl187"/>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sz w:val="22"/>
      <w:szCs w:val="22"/>
    </w:rPr>
  </w:style>
  <w:style w:type="paragraph" w:customStyle="1" w:styleId="xl188">
    <w:name w:val="xl18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89">
    <w:name w:val="xl189"/>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0">
    <w:name w:val="xl190"/>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3">
    <w:name w:val="xl19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4">
    <w:name w:val="xl194"/>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96">
    <w:name w:val="xl196"/>
    <w:basedOn w:val="Normal"/>
    <w:pPr>
      <w:shd w:val="clear" w:color="000000" w:fill="FFFFFF"/>
      <w:spacing w:before="100" w:beforeAutospacing="1" w:after="100" w:afterAutospacing="1"/>
      <w:jc w:val="right"/>
    </w:p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Normal2">
    <w:name w:val="Normal2"/>
    <w:basedOn w:val="Normal"/>
    <w:pPr>
      <w:spacing w:before="100" w:beforeAutospacing="1" w:after="100" w:afterAutospacing="1"/>
    </w:pPr>
    <w:rPr>
      <w:color w:val="000000"/>
    </w:rPr>
  </w:style>
  <w:style w:type="paragraph" w:customStyle="1" w:styleId="font5">
    <w:name w:val="font5"/>
    <w:basedOn w:val="Normal"/>
    <w:pPr>
      <w:spacing w:before="100" w:beforeAutospacing="1" w:after="100" w:afterAutospacing="1"/>
    </w:pPr>
    <w:rPr>
      <w:color w:val="000000"/>
      <w:sz w:val="20"/>
      <w:szCs w:val="20"/>
    </w:rPr>
  </w:style>
  <w:style w:type="paragraph" w:customStyle="1" w:styleId="xl200">
    <w:name w:val="xl200"/>
    <w:basedOn w:val="Normal"/>
    <w:pPr>
      <w:shd w:val="clear" w:color="000000" w:fill="FFFFFF"/>
      <w:spacing w:before="100" w:beforeAutospacing="1" w:after="100" w:afterAutospacing="1"/>
      <w:jc w:val="right"/>
    </w:pPr>
  </w:style>
  <w:style w:type="paragraph" w:customStyle="1" w:styleId="xl201">
    <w:name w:val="xl201"/>
    <w:basedOn w:val="Normal"/>
    <w:pPr>
      <w:shd w:val="clear" w:color="000000" w:fill="FFFFFF"/>
      <w:spacing w:before="100" w:beforeAutospacing="1" w:after="100" w:afterAutospacing="1"/>
    </w:pPr>
    <w:rPr>
      <w:b/>
      <w:bCs/>
      <w:color w:val="000000"/>
      <w:sz w:val="18"/>
      <w:szCs w:val="18"/>
    </w:rPr>
  </w:style>
  <w:style w:type="paragraph" w:customStyle="1" w:styleId="xl202">
    <w:name w:val="xl202"/>
    <w:basedOn w:val="Normal"/>
    <w:pPr>
      <w:shd w:val="clear" w:color="000000" w:fill="FFFFFF"/>
      <w:spacing w:before="100" w:beforeAutospacing="1" w:after="100" w:afterAutospacing="1"/>
    </w:pPr>
    <w:rPr>
      <w:b/>
      <w:bCs/>
      <w:i/>
      <w:iCs/>
      <w:color w:val="000000"/>
      <w:sz w:val="18"/>
      <w:szCs w:val="18"/>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06">
    <w:name w:val="xl206"/>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i/>
      <w:iCs/>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208">
    <w:name w:val="xl208"/>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color w:val="000000"/>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3">
    <w:name w:val="xl213"/>
    <w:basedOn w:val="Normal"/>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color w:val="000000"/>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9">
    <w:name w:val="xl219"/>
    <w:basedOn w:val="Normal"/>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i/>
      <w:iCs/>
      <w:color w:val="000000"/>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24">
    <w:name w:val="xl224"/>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229">
    <w:name w:val="xl229"/>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2">
    <w:name w:val="xl232"/>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34">
    <w:name w:val="xl234"/>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0">
    <w:name w:val="xl24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1">
    <w:name w:val="xl241"/>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42">
    <w:name w:val="xl242"/>
    <w:basedOn w:val="Normal"/>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3">
    <w:name w:val="xl243"/>
    <w:basedOn w:val="Normal"/>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5">
    <w:name w:val="xl24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6">
    <w:name w:val="xl24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7">
    <w:name w:val="xl2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248">
    <w:name w:val="xl2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1">
    <w:name w:val="xl251"/>
    <w:basedOn w:val="Normal"/>
    <w:pPr>
      <w:spacing w:before="100" w:beforeAutospacing="1" w:after="100" w:afterAutospacing="1"/>
      <w:jc w:val="right"/>
    </w:pPr>
    <w:rPr>
      <w:color w:val="000000"/>
    </w:rPr>
  </w:style>
  <w:style w:type="paragraph" w:customStyle="1" w:styleId="xl252">
    <w:name w:val="xl252"/>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5">
    <w:name w:val="xl25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56">
    <w:name w:val="xl256"/>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57">
    <w:name w:val="xl257"/>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8">
    <w:name w:val="xl258"/>
    <w:basedOn w:val="Normal"/>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9">
    <w:name w:val="xl259"/>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60">
    <w:name w:val="xl2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1">
    <w:name w:val="xl261"/>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2">
    <w:name w:val="xl26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3">
    <w:name w:val="xl263"/>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4">
    <w:name w:val="xl264"/>
    <w:basedOn w:val="Normal"/>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65">
    <w:name w:val="xl265"/>
    <w:basedOn w:val="Normal"/>
    <w:pPr>
      <w:pBdr>
        <w:top w:val="single" w:sz="4" w:space="0" w:color="000000"/>
        <w:left w:val="single" w:sz="4" w:space="0" w:color="000000"/>
      </w:pBdr>
      <w:shd w:val="clear" w:color="000000" w:fill="FFFFFF"/>
      <w:spacing w:before="100" w:beforeAutospacing="1" w:after="100" w:afterAutospacing="1"/>
      <w:jc w:val="center"/>
      <w:textAlignment w:val="center"/>
    </w:pPr>
    <w:rPr>
      <w:b/>
      <w:bCs/>
    </w:rPr>
  </w:style>
  <w:style w:type="paragraph" w:customStyle="1" w:styleId="xl266">
    <w:name w:val="xl2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Normal"/>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268">
    <w:name w:val="xl268"/>
    <w:basedOn w:val="Normal"/>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69">
    <w:name w:val="xl269"/>
    <w:basedOn w:val="Normal"/>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270">
    <w:name w:val="xl270"/>
    <w:basedOn w:val="Normal"/>
    <w:pPr>
      <w:pBdr>
        <w:left w:val="single" w:sz="4" w:space="0" w:color="auto"/>
      </w:pBdr>
      <w:spacing w:before="100" w:beforeAutospacing="1" w:after="100" w:afterAutospacing="1"/>
      <w:jc w:val="center"/>
      <w:textAlignment w:val="center"/>
    </w:pPr>
    <w:rPr>
      <w:color w:val="000000"/>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72">
    <w:name w:val="xl27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rPr>
  </w:style>
  <w:style w:type="paragraph" w:customStyle="1" w:styleId="xl273">
    <w:name w:val="xl273"/>
    <w:basedOn w:val="Normal"/>
    <w:pPr>
      <w:shd w:val="clear" w:color="000000" w:fill="FFFF00"/>
      <w:spacing w:before="100" w:beforeAutospacing="1" w:after="100" w:afterAutospacing="1"/>
    </w:pPr>
    <w:rPr>
      <w:i/>
      <w:iCs/>
      <w:color w:val="000000"/>
      <w:sz w:val="18"/>
      <w:szCs w:val="18"/>
    </w:rPr>
  </w:style>
  <w:style w:type="paragraph" w:customStyle="1" w:styleId="xl274">
    <w:name w:val="xl27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rPr>
  </w:style>
  <w:style w:type="paragraph" w:customStyle="1" w:styleId="xl276">
    <w:name w:val="xl27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rPr>
  </w:style>
  <w:style w:type="paragraph" w:customStyle="1" w:styleId="xl138">
    <w:name w:val="xl138"/>
    <w:basedOn w:val="Normal"/>
    <w:pPr>
      <w:shd w:val="clear" w:color="000000" w:fill="FFFFFF"/>
      <w:spacing w:before="100" w:beforeAutospacing="1" w:after="100" w:afterAutospacing="1"/>
    </w:pPr>
  </w:style>
  <w:style w:type="paragraph" w:customStyle="1" w:styleId="xl139">
    <w:name w:val="xl139"/>
    <w:basedOn w:val="Normal"/>
    <w:pPr>
      <w:shd w:val="clear" w:color="000000" w:fill="FFFFFF"/>
      <w:spacing w:before="100" w:beforeAutospacing="1" w:after="100" w:afterAutospacing="1"/>
      <w:jc w:val="center"/>
    </w:pPr>
  </w:style>
  <w:style w:type="paragraph" w:customStyle="1" w:styleId="xl140">
    <w:name w:val="xl140"/>
    <w:basedOn w:val="Normal"/>
    <w:pPr>
      <w:shd w:val="clear" w:color="000000" w:fill="FFFFFF"/>
      <w:spacing w:before="100" w:beforeAutospacing="1" w:after="100" w:afterAutospacing="1"/>
    </w:pPr>
    <w:rPr>
      <w:rFonts w:ascii="Calibri" w:hAnsi="Calibri" w:cs="Calibri"/>
      <w:color w:val="000000"/>
      <w:sz w:val="22"/>
      <w:szCs w:val="22"/>
    </w:rPr>
  </w:style>
  <w:style w:type="paragraph" w:customStyle="1" w:styleId="xl141">
    <w:name w:val="xl141"/>
    <w:basedOn w:val="Normal"/>
    <w:pPr>
      <w:shd w:val="clear" w:color="000000" w:fill="FFFFFF"/>
      <w:spacing w:before="100" w:beforeAutospacing="1" w:after="100" w:afterAutospacing="1"/>
    </w:pPr>
    <w:rPr>
      <w:b/>
      <w:bCs/>
    </w:rPr>
  </w:style>
  <w:style w:type="paragraph" w:customStyle="1" w:styleId="xl142">
    <w:name w:val="xl142"/>
    <w:basedOn w:val="Normal"/>
    <w:pPr>
      <w:shd w:val="clear" w:color="000000" w:fill="FFFFFF"/>
      <w:spacing w:before="100" w:beforeAutospacing="1" w:after="100" w:afterAutospacing="1"/>
    </w:pPr>
    <w:rPr>
      <w:rFonts w:ascii="Arial" w:hAnsi="Arial" w:cs="Arial"/>
    </w:rPr>
  </w:style>
  <w:style w:type="paragraph" w:customStyle="1" w:styleId="xl143">
    <w:name w:val="xl143"/>
    <w:basedOn w:val="Normal"/>
    <w:pPr>
      <w:shd w:val="clear" w:color="000000" w:fill="FFFFFF"/>
      <w:spacing w:before="100" w:beforeAutospacing="1" w:after="100" w:afterAutospacing="1"/>
      <w:jc w:val="center"/>
      <w:textAlignment w:val="center"/>
    </w:pPr>
  </w:style>
  <w:style w:type="paragraph" w:customStyle="1" w:styleId="xl144">
    <w:name w:val="xl14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7">
    <w:name w:val="xl14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Normal"/>
    <w:pPr>
      <w:shd w:val="clear" w:color="000000" w:fill="FFFFFF"/>
      <w:spacing w:before="100" w:beforeAutospacing="1" w:after="100" w:afterAutospacing="1"/>
      <w:jc w:val="center"/>
      <w:textAlignment w:val="center"/>
    </w:pPr>
  </w:style>
  <w:style w:type="paragraph" w:customStyle="1" w:styleId="xl149">
    <w:name w:val="xl149"/>
    <w:basedOn w:val="Normal"/>
    <w:pPr>
      <w:shd w:val="clear" w:color="000000" w:fill="FFFFFF"/>
      <w:spacing w:before="100" w:beforeAutospacing="1" w:after="100" w:afterAutospacing="1"/>
      <w:textAlignment w:val="center"/>
    </w:pPr>
  </w:style>
  <w:style w:type="paragraph" w:customStyle="1" w:styleId="xl150">
    <w:name w:val="xl150"/>
    <w:basedOn w:val="Normal"/>
    <w:pPr>
      <w:shd w:val="clear" w:color="000000" w:fill="FFFFFF"/>
      <w:spacing w:before="100" w:beforeAutospacing="1" w:after="100" w:afterAutospacing="1"/>
      <w:jc w:val="right"/>
      <w:textAlignment w:val="center"/>
    </w:p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152">
    <w:name w:val="xl15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3">
    <w:name w:val="xl15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4">
    <w:name w:val="xl15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5">
    <w:name w:val="xl15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2">
    <w:name w:val="xl16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63">
    <w:name w:val="xl16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character" w:customStyle="1" w:styleId="NormalWebChar">
    <w:name w:val="Normal (Web) Char"/>
    <w:link w:val="NormalWeb"/>
    <w:uiPriority w:val="99"/>
    <w:rPr>
      <w:rFonts w:ascii="Times New Roman" w:hAnsi="Times New Roman"/>
      <w:sz w:val="24"/>
      <w:szCs w:val="24"/>
    </w:rPr>
  </w:style>
  <w:style w:type="character" w:styleId="SubtleEmphasis">
    <w:name w:val="Subtle Emphasis"/>
    <w:uiPriority w:val="19"/>
    <w:qFormat/>
    <w:rPr>
      <w:i/>
      <w:iCs/>
      <w:color w:val="808080"/>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Times New Roman" w:eastAsia="Times New Roman" w:hAnsi="Times New Roman"/>
      <w:lang w:val="en-US" w:eastAsia="en-US"/>
    </w:rPr>
  </w:style>
  <w:style w:type="character" w:styleId="EndnoteReference">
    <w:name w:val="endnote reference"/>
    <w:uiPriority w:val="99"/>
    <w:semiHidden/>
    <w:unhideWhenUsed/>
    <w:rPr>
      <w:vertAlign w:val="superscript"/>
    </w:rPr>
  </w:style>
  <w:style w:type="character" w:customStyle="1" w:styleId="UnresolvedMention1">
    <w:name w:val="Unresolved Mention1"/>
    <w:uiPriority w:val="99"/>
    <w:semiHidden/>
    <w:unhideWhenUsed/>
    <w:rPr>
      <w:color w:val="605E5C"/>
      <w:shd w:val="clear" w:color="auto" w:fill="E1DFDD"/>
    </w:rPr>
  </w:style>
  <w:style w:type="character" w:customStyle="1" w:styleId="fontstyle21">
    <w:name w:val="fontstyle21"/>
    <w:basedOn w:val="DefaultParagraphFont"/>
    <w:rPr>
      <w:rFonts w:ascii="TimesNewRomanPS-ItalicMT" w:hAnsi="TimesNewRomanPS-ItalicMT" w:hint="default"/>
      <w:b w:val="0"/>
      <w:bCs w:val="0"/>
      <w:i/>
      <w:iCs/>
      <w:color w:val="000000"/>
      <w:sz w:val="26"/>
      <w:szCs w:val="26"/>
    </w:rPr>
  </w:style>
  <w:style w:type="character" w:customStyle="1" w:styleId="fontstyle31">
    <w:name w:val="fontstyle31"/>
    <w:basedOn w:val="DefaultParagraphFont"/>
    <w:rPr>
      <w:rFonts w:ascii="TimesNewRomanPS-BoldItalicMT" w:hAnsi="TimesNewRomanPS-BoldItalicMT" w:hint="default"/>
      <w:b/>
      <w:bCs/>
      <w:i/>
      <w:iCs/>
      <w:color w:val="000000"/>
      <w:sz w:val="38"/>
      <w:szCs w:val="38"/>
    </w:rPr>
  </w:style>
  <w:style w:type="character" w:customStyle="1" w:styleId="fontstyle01">
    <w:name w:val="fontstyle01"/>
    <w:basedOn w:val="DefaultParagraphFont"/>
    <w:rPr>
      <w:rFonts w:ascii="TimesNewRomanPSMT" w:hAnsi="TimesNewRomanPSMT" w:hint="default"/>
      <w:b w:val="0"/>
      <w:bCs w:val="0"/>
      <w:i w:val="0"/>
      <w:iCs w:val="0"/>
      <w:color w:val="000000"/>
      <w:sz w:val="38"/>
      <w:szCs w:val="38"/>
    </w:rPr>
  </w:style>
  <w:style w:type="paragraph" w:customStyle="1" w:styleId="Mcnidung">
    <w:name w:val="Mục nội dung"/>
    <w:basedOn w:val="Normal"/>
    <w:link w:val="McnidungChar2"/>
    <w:qFormat/>
    <w:pPr>
      <w:spacing w:before="60" w:after="60" w:line="288" w:lineRule="auto"/>
      <w:ind w:firstLine="567"/>
      <w:jc w:val="both"/>
    </w:pPr>
    <w:rPr>
      <w:noProof/>
      <w:sz w:val="28"/>
      <w:szCs w:val="28"/>
      <w:lang w:val="pt-BR"/>
    </w:rPr>
  </w:style>
  <w:style w:type="character" w:customStyle="1" w:styleId="McnidungChar2">
    <w:name w:val="Mục nội dung Char2"/>
    <w:link w:val="Mcnidung"/>
    <w:rPr>
      <w:rFonts w:ascii="Times New Roman" w:eastAsia="Times New Roman" w:hAnsi="Times New Roman"/>
      <w:noProof/>
      <w:sz w:val="28"/>
      <w:szCs w:val="28"/>
      <w:lang w:val="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pPr>
      <w:keepNext/>
      <w:outlineLvl w:val="0"/>
    </w:pPr>
    <w:rPr>
      <w:rFonts w:ascii=".VnTimeH" w:hAnsi=".VnTimeH"/>
      <w:b/>
      <w:sz w:val="26"/>
      <w:szCs w:val="20"/>
    </w:rPr>
  </w:style>
  <w:style w:type="paragraph" w:styleId="Heading2">
    <w:name w:val="heading 2"/>
    <w:basedOn w:val="Normal"/>
    <w:next w:val="Normal"/>
    <w:link w:val="Heading2Char"/>
    <w:qFormat/>
    <w:pPr>
      <w:keepNext/>
      <w:jc w:val="center"/>
      <w:outlineLvl w:val="1"/>
    </w:pPr>
    <w:rPr>
      <w:rFonts w:ascii=".VnTime" w:hAnsi=".VnTime"/>
      <w:b/>
      <w:sz w:val="28"/>
      <w:szCs w:val="20"/>
    </w:rPr>
  </w:style>
  <w:style w:type="paragraph" w:styleId="Heading3">
    <w:name w:val="heading 3"/>
    <w:basedOn w:val="Normal"/>
    <w:next w:val="Normal"/>
    <w:link w:val="Heading3Char"/>
    <w:qFormat/>
    <w:pPr>
      <w:keepNext/>
      <w:ind w:hanging="993"/>
      <w:outlineLvl w:val="2"/>
    </w:pPr>
    <w:rPr>
      <w:rFonts w:ascii=".VnTimeH" w:hAnsi=".VnTimeH"/>
      <w:b/>
      <w:sz w:val="26"/>
      <w:szCs w:val="20"/>
    </w:rPr>
  </w:style>
  <w:style w:type="paragraph" w:styleId="Heading4">
    <w:name w:val="heading 4"/>
    <w:basedOn w:val="Normal"/>
    <w:next w:val="Normal"/>
    <w:link w:val="Heading4Char"/>
    <w:qFormat/>
    <w:pPr>
      <w:keepNext/>
      <w:outlineLvl w:val="3"/>
    </w:pPr>
    <w:rPr>
      <w:rFonts w:ascii=".VnTime" w:hAnsi=".VnTime"/>
      <w:b/>
      <w:sz w:val="28"/>
    </w:rPr>
  </w:style>
  <w:style w:type="paragraph" w:styleId="Heading5">
    <w:name w:val="heading 5"/>
    <w:basedOn w:val="Normal"/>
    <w:next w:val="Normal"/>
    <w:link w:val="Heading5Char"/>
    <w:qFormat/>
    <w:pPr>
      <w:keepNext/>
      <w:spacing w:before="120" w:after="120" w:line="320" w:lineRule="exact"/>
      <w:ind w:left="-601" w:hanging="1072"/>
      <w:jc w:val="center"/>
      <w:outlineLvl w:val="4"/>
    </w:pPr>
    <w:rPr>
      <w:rFonts w:ascii=".VnTimeH" w:hAnsi=".VnTimeH"/>
      <w:b/>
      <w:bCs/>
      <w:sz w:val="26"/>
    </w:rPr>
  </w:style>
  <w:style w:type="paragraph" w:styleId="Heading6">
    <w:name w:val="heading 6"/>
    <w:basedOn w:val="Normal"/>
    <w:next w:val="Normal"/>
    <w:link w:val="Heading6Char"/>
    <w:qFormat/>
    <w:pPr>
      <w:keepNext/>
      <w:spacing w:line="400" w:lineRule="exact"/>
      <w:ind w:left="-112" w:right="-136"/>
      <w:jc w:val="center"/>
      <w:outlineLvl w:val="5"/>
    </w:pPr>
    <w:rPr>
      <w:rFonts w:ascii=".VnArial Narrow" w:hAnsi=".VnArial Narrow"/>
      <w:b/>
      <w:bCs/>
      <w:sz w:val="28"/>
    </w:rPr>
  </w:style>
  <w:style w:type="paragraph" w:styleId="Heading8">
    <w:name w:val="heading 8"/>
    <w:basedOn w:val="Normal"/>
    <w:next w:val="Normal"/>
    <w:link w:val="Heading8Char"/>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pPr>
      <w:spacing w:after="120" w:line="480" w:lineRule="auto"/>
      <w:ind w:left="360"/>
    </w:pPr>
    <w:rPr>
      <w:rFonts w:ascii="Calibri" w:eastAsia="Calibri" w:hAnsi="Calibri"/>
      <w:lang w:val="x-none" w:eastAsia="x-none"/>
    </w:rPr>
  </w:style>
  <w:style w:type="character" w:customStyle="1" w:styleId="apple-converted-space">
    <w:name w:val="apple-converted-space"/>
  </w:style>
  <w:style w:type="character" w:customStyle="1" w:styleId="BodyTextIndent2Char">
    <w:name w:val="Body Text Indent 2 Char"/>
    <w:link w:val="BodyTextIndent2"/>
    <w:locked/>
    <w:rPr>
      <w:sz w:val="24"/>
      <w:szCs w:val="24"/>
      <w:lang w:bidi="ar-SA"/>
    </w:rPr>
  </w:style>
  <w:style w:type="paragraph" w:customStyle="1" w:styleId="Char">
    <w:name w:val="Char"/>
    <w:basedOn w:val="Normal"/>
    <w:pPr>
      <w:spacing w:after="160" w:line="240" w:lineRule="exact"/>
    </w:pPr>
    <w:rPr>
      <w:rFonts w:ascii="Arial" w:eastAsia="Calibri" w:hAnsi="Arial" w:cs="Arial"/>
      <w:sz w:val="22"/>
      <w:szCs w:val="22"/>
    </w:rPr>
  </w:style>
  <w:style w:type="paragraph" w:styleId="NormalWeb">
    <w:name w:val="Normal (Web)"/>
    <w:basedOn w:val="Normal"/>
    <w:link w:val="NormalWebChar"/>
    <w:uiPriority w:val="99"/>
    <w:pPr>
      <w:spacing w:before="100" w:beforeAutospacing="1" w:after="100" w:afterAutospacing="1"/>
    </w:pPr>
    <w:rPr>
      <w:rFonts w:eastAsia="Calibri"/>
    </w:rPr>
  </w:style>
  <w:style w:type="character" w:styleId="Strong">
    <w:name w:val="Strong"/>
    <w:qFormat/>
    <w:rPr>
      <w:b/>
      <w:bC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unhideWhenUsed/>
    <w:pPr>
      <w:spacing w:after="120"/>
      <w:ind w:left="360"/>
    </w:pPr>
    <w:rPr>
      <w:lang w:val="x-none" w:eastAsia="x-none"/>
    </w:rPr>
  </w:style>
  <w:style w:type="character" w:customStyle="1" w:styleId="BodyTextIndentChar">
    <w:name w:val="Body Text Indent Char"/>
    <w:link w:val="BodyTextIndent"/>
    <w:rPr>
      <w:rFonts w:ascii="Times New Roman" w:eastAsia="Times New Roman" w:hAnsi="Times New Roman"/>
      <w:sz w:val="24"/>
      <w:szCs w:val="24"/>
    </w:rPr>
  </w:style>
  <w:style w:type="paragraph" w:customStyle="1" w:styleId="Char1">
    <w:name w:val="Char1"/>
    <w:basedOn w:val="Normal"/>
    <w:semiHidden/>
    <w:pPr>
      <w:spacing w:after="160" w:line="240" w:lineRule="exact"/>
    </w:pPr>
    <w:rPr>
      <w:rFonts w:ascii="Arial" w:hAnsi="Arial"/>
      <w:sz w:val="22"/>
      <w:szCs w:val="22"/>
    </w:rPr>
  </w:style>
  <w:style w:type="paragraph" w:styleId="Header">
    <w:name w:val="header"/>
    <w:basedOn w:val="Normal"/>
    <w:link w:val="HeaderChar"/>
    <w:uiPriority w:val="99"/>
    <w:pPr>
      <w:tabs>
        <w:tab w:val="center" w:pos="4320"/>
        <w:tab w:val="right" w:pos="8640"/>
      </w:tabs>
    </w:pPr>
    <w:rPr>
      <w:lang w:val="x-none" w:eastAsia="x-none"/>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customStyle="1" w:styleId="msolistparagraph0">
    <w:name w:val="msolistparagraph"/>
    <w:basedOn w:val="Normal"/>
    <w:pPr>
      <w:spacing w:after="200" w:line="276" w:lineRule="auto"/>
      <w:ind w:left="720"/>
      <w:contextualSpacing/>
    </w:pPr>
    <w:rPr>
      <w:rFonts w:ascii="Calibri" w:hAnsi="Calibri"/>
      <w:sz w:val="22"/>
      <w:szCs w:val="22"/>
    </w:rPr>
  </w:style>
  <w:style w:type="paragraph" w:styleId="FootnoteText">
    <w:name w:val="footnote text"/>
    <w:basedOn w:val="Normal"/>
    <w:link w:val="FootnoteTextChar"/>
    <w:unhideWhenUsed/>
    <w:rPr>
      <w:sz w:val="20"/>
      <w:szCs w:val="20"/>
      <w:lang w:val="x-none" w:eastAsia="x-none"/>
    </w:rPr>
  </w:style>
  <w:style w:type="character" w:customStyle="1" w:styleId="FootnoteTextChar">
    <w:name w:val="Footnote Text Char"/>
    <w:link w:val="FootnoteText"/>
    <w:rPr>
      <w:rFonts w:ascii="Times New Roman" w:eastAsia="Times New Roman" w:hAnsi="Times New Roman"/>
    </w:rPr>
  </w:style>
  <w:style w:type="character" w:styleId="FootnoteReference">
    <w:name w:val="footnote reference"/>
    <w:semiHidden/>
    <w:unhideWhenUsed/>
    <w:rPr>
      <w:vertAlign w:val="superscript"/>
    </w:rPr>
  </w:style>
  <w:style w:type="paragraph" w:styleId="BalloonText">
    <w:name w:val="Balloon Text"/>
    <w:basedOn w:val="Normal"/>
    <w:link w:val="BalloonTextChar"/>
    <w:rPr>
      <w:rFonts w:ascii="Tahoma" w:hAnsi="Tahoma" w:cs="Tahoma"/>
      <w:sz w:val="16"/>
      <w:szCs w:val="16"/>
    </w:rPr>
  </w:style>
  <w:style w:type="paragraph" w:customStyle="1" w:styleId="CharChar">
    <w:name w:val="Char Char"/>
    <w:basedOn w:val="Normal"/>
    <w:semiHidden/>
    <w:pPr>
      <w:spacing w:after="160" w:line="240" w:lineRule="exact"/>
    </w:pPr>
    <w:rPr>
      <w:rFonts w:ascii="Arial" w:hAnsi="Arial"/>
      <w:sz w:val="22"/>
      <w:szCs w:val="22"/>
    </w:rPr>
  </w:style>
  <w:style w:type="character" w:customStyle="1" w:styleId="HeaderChar">
    <w:name w:val="Header Char"/>
    <w:link w:val="Header"/>
    <w:uiPriority w:val="99"/>
    <w:rPr>
      <w:rFonts w:ascii="Times New Roman" w:eastAsia="Times New Roman" w:hAnsi="Times New Roman"/>
      <w:sz w:val="24"/>
      <w:szCs w:val="24"/>
    </w:rPr>
  </w:style>
  <w:style w:type="character" w:customStyle="1" w:styleId="Heading1Char">
    <w:name w:val="Heading 1 Char"/>
    <w:link w:val="Heading1"/>
    <w:rPr>
      <w:rFonts w:ascii=".VnTimeH" w:eastAsia="Times New Roman" w:hAnsi=".VnTimeH"/>
      <w:b/>
      <w:sz w:val="26"/>
    </w:rPr>
  </w:style>
  <w:style w:type="character" w:customStyle="1" w:styleId="Heading2Char">
    <w:name w:val="Heading 2 Char"/>
    <w:link w:val="Heading2"/>
    <w:rPr>
      <w:rFonts w:ascii=".VnTime" w:eastAsia="Times New Roman" w:hAnsi=".VnTime"/>
      <w:b/>
      <w:sz w:val="28"/>
    </w:rPr>
  </w:style>
  <w:style w:type="character" w:customStyle="1" w:styleId="Heading3Char">
    <w:name w:val="Heading 3 Char"/>
    <w:link w:val="Heading3"/>
    <w:rPr>
      <w:rFonts w:ascii=".VnTimeH" w:eastAsia="Times New Roman" w:hAnsi=".VnTimeH"/>
      <w:b/>
      <w:sz w:val="26"/>
    </w:rPr>
  </w:style>
  <w:style w:type="character" w:customStyle="1" w:styleId="Heading4Char">
    <w:name w:val="Heading 4 Char"/>
    <w:link w:val="Heading4"/>
    <w:rPr>
      <w:rFonts w:ascii=".VnTime" w:eastAsia="Times New Roman" w:hAnsi=".VnTime"/>
      <w:b/>
      <w:sz w:val="28"/>
      <w:szCs w:val="24"/>
    </w:rPr>
  </w:style>
  <w:style w:type="character" w:customStyle="1" w:styleId="Heading5Char">
    <w:name w:val="Heading 5 Char"/>
    <w:link w:val="Heading5"/>
    <w:rPr>
      <w:rFonts w:ascii=".VnTimeH" w:eastAsia="Times New Roman" w:hAnsi=".VnTimeH"/>
      <w:b/>
      <w:bCs/>
      <w:sz w:val="26"/>
      <w:szCs w:val="24"/>
    </w:rPr>
  </w:style>
  <w:style w:type="character" w:customStyle="1" w:styleId="Heading6Char">
    <w:name w:val="Heading 6 Char"/>
    <w:link w:val="Heading6"/>
    <w:rPr>
      <w:rFonts w:ascii=".VnArial Narrow" w:eastAsia="Times New Roman" w:hAnsi=".VnArial Narrow"/>
      <w:b/>
      <w:bCs/>
      <w:sz w:val="28"/>
      <w:szCs w:val="24"/>
    </w:rPr>
  </w:style>
  <w:style w:type="character" w:customStyle="1" w:styleId="Heading8Char">
    <w:name w:val="Heading 8 Char"/>
    <w:link w:val="Heading8"/>
    <w:rPr>
      <w:rFonts w:ascii="Times New Roman" w:eastAsia="Times New Roman" w:hAnsi="Times New Roman"/>
      <w:i/>
      <w:iCs/>
      <w:sz w:val="24"/>
      <w:szCs w:val="24"/>
    </w:rPr>
  </w:style>
  <w:style w:type="numbering" w:customStyle="1" w:styleId="NoList1">
    <w:name w:val="No List1"/>
    <w:next w:val="NoList"/>
    <w:uiPriority w:val="99"/>
    <w:semiHidden/>
    <w:unhideWhenUsed/>
  </w:style>
  <w:style w:type="paragraph" w:styleId="BodyText">
    <w:name w:val="Body Text"/>
    <w:basedOn w:val="Normal"/>
    <w:link w:val="BodyTextChar"/>
    <w:pPr>
      <w:jc w:val="both"/>
    </w:pPr>
    <w:rPr>
      <w:rFonts w:ascii=".VnTime" w:hAnsi=".VnTime"/>
      <w:sz w:val="28"/>
      <w:szCs w:val="20"/>
    </w:rPr>
  </w:style>
  <w:style w:type="character" w:customStyle="1" w:styleId="BodyTextChar">
    <w:name w:val="Body Text Char"/>
    <w:link w:val="BodyText"/>
    <w:rPr>
      <w:rFonts w:ascii=".VnTime" w:eastAsia="Times New Roman" w:hAnsi=".VnTime"/>
      <w:sz w:val="28"/>
    </w:rPr>
  </w:style>
  <w:style w:type="paragraph" w:styleId="BodyTextIndent3">
    <w:name w:val="Body Text Indent 3"/>
    <w:basedOn w:val="Normal"/>
    <w:link w:val="BodyTextIndent3Char"/>
    <w:pPr>
      <w:spacing w:line="360" w:lineRule="exact"/>
      <w:ind w:firstLine="335"/>
      <w:jc w:val="both"/>
    </w:pPr>
    <w:rPr>
      <w:rFonts w:ascii=".VnTime" w:hAnsi=".VnTime"/>
      <w:sz w:val="28"/>
    </w:rPr>
  </w:style>
  <w:style w:type="character" w:customStyle="1" w:styleId="BodyTextIndent3Char">
    <w:name w:val="Body Text Indent 3 Char"/>
    <w:link w:val="BodyTextIndent3"/>
    <w:rPr>
      <w:rFonts w:ascii=".VnTime" w:eastAsia="Times New Roman" w:hAnsi=".VnTime"/>
      <w:sz w:val="28"/>
      <w:szCs w:val="24"/>
    </w:rPr>
  </w:style>
  <w:style w:type="character" w:customStyle="1" w:styleId="FooterChar">
    <w:name w:val="Footer Char"/>
    <w:link w:val="Footer"/>
    <w:uiPriority w:val="99"/>
    <w:rPr>
      <w:rFonts w:ascii="Times New Roman" w:eastAsia="Times New Roman" w:hAnsi="Times New Roman"/>
      <w:sz w:val="24"/>
      <w:szCs w:val="24"/>
    </w:rPr>
  </w:style>
  <w:style w:type="paragraph" w:styleId="BodyText2">
    <w:name w:val="Body Text 2"/>
    <w:basedOn w:val="Normal"/>
    <w:link w:val="BodyText2Char"/>
    <w:pPr>
      <w:spacing w:line="380" w:lineRule="exact"/>
      <w:jc w:val="center"/>
    </w:pPr>
    <w:rPr>
      <w:rFonts w:ascii=".VnTime" w:hAnsi=".VnTime"/>
      <w:b/>
      <w:bCs/>
      <w:sz w:val="28"/>
    </w:rPr>
  </w:style>
  <w:style w:type="character" w:customStyle="1" w:styleId="BodyText2Char">
    <w:name w:val="Body Text 2 Char"/>
    <w:link w:val="BodyText2"/>
    <w:rPr>
      <w:rFonts w:ascii=".VnTime" w:eastAsia="Times New Roman" w:hAnsi=".VnTime"/>
      <w:b/>
      <w:bCs/>
      <w:sz w:val="28"/>
      <w:szCs w:val="24"/>
    </w:rPr>
  </w:style>
  <w:style w:type="table" w:styleId="TableGrid">
    <w:name w:val="Table Grid"/>
    <w:basedOn w:val="TableNormal"/>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Char Char Char Char Char Char Char"/>
    <w:basedOn w:val="Normal"/>
    <w:semiHidden/>
    <w:pPr>
      <w:spacing w:after="160" w:line="240" w:lineRule="exact"/>
    </w:pPr>
    <w:rPr>
      <w:rFonts w:ascii="Arial" w:hAnsi="Arial"/>
      <w:sz w:val="22"/>
      <w:szCs w:val="22"/>
    </w:rPr>
  </w:style>
  <w:style w:type="paragraph" w:customStyle="1" w:styleId="CharCharCharCharCharCharCharCharCharCharCharCharCharCharCharChar">
    <w:name w:val="Char Char Char Char Char Char Char Char Char Char Char Char Char Char Char Char"/>
    <w:basedOn w:val="Normal"/>
    <w:next w:val="Normal"/>
    <w:autoRedefine/>
    <w:semiHidden/>
    <w:pPr>
      <w:spacing w:before="120" w:after="120" w:line="312" w:lineRule="auto"/>
    </w:pPr>
    <w:rPr>
      <w:color w:val="0000FF"/>
      <w:spacing w:val="-8"/>
      <w:sz w:val="28"/>
      <w:szCs w:val="22"/>
    </w:rPr>
  </w:style>
  <w:style w:type="paragraph" w:customStyle="1" w:styleId="CharCharCharChar">
    <w:name w:val="Char Char Char Char"/>
    <w:basedOn w:val="Normal"/>
    <w:pPr>
      <w:spacing w:after="160" w:line="240" w:lineRule="exact"/>
    </w:pPr>
    <w:rPr>
      <w:rFonts w:ascii="Verdana" w:hAnsi="Verdana"/>
      <w:sz w:val="20"/>
      <w:szCs w:val="20"/>
    </w:rPr>
  </w:style>
  <w:style w:type="character" w:customStyle="1" w:styleId="BalloonTextChar">
    <w:name w:val="Balloon Text Char"/>
    <w:link w:val="BalloonText"/>
    <w:rPr>
      <w:rFonts w:ascii="Tahoma" w:eastAsia="Times New Roman" w:hAnsi="Tahoma" w:cs="Tahoma"/>
      <w:sz w:val="16"/>
      <w:szCs w:val="16"/>
    </w:rPr>
  </w:style>
  <w:style w:type="paragraph" w:styleId="Title">
    <w:name w:val="Title"/>
    <w:basedOn w:val="Normal"/>
    <w:link w:val="TitleChar"/>
    <w:qFormat/>
    <w:pPr>
      <w:spacing w:after="120"/>
      <w:jc w:val="center"/>
    </w:pPr>
    <w:rPr>
      <w:rFonts w:ascii=".VnArialH" w:hAnsi=".VnArialH"/>
      <w:b/>
      <w:sz w:val="28"/>
      <w:szCs w:val="20"/>
      <w:lang w:val="x-none" w:eastAsia="x-none"/>
    </w:rPr>
  </w:style>
  <w:style w:type="character" w:customStyle="1" w:styleId="TitleChar">
    <w:name w:val="Title Char"/>
    <w:link w:val="Title"/>
    <w:rPr>
      <w:rFonts w:ascii=".VnArialH" w:eastAsia="Times New Roman" w:hAnsi=".VnArialH"/>
      <w:b/>
      <w:sz w:val="28"/>
      <w:lang w:val="x-none" w:eastAsia="x-none"/>
    </w:rPr>
  </w:style>
  <w:style w:type="paragraph" w:customStyle="1" w:styleId="1Char">
    <w:name w:val="1 Char"/>
    <w:basedOn w:val="DocumentMap"/>
    <w:autoRedefine/>
    <w:pPr>
      <w:widowControl w:val="0"/>
      <w:shd w:val="clear" w:color="auto" w:fill="000080"/>
      <w:jc w:val="both"/>
    </w:pPr>
    <w:rPr>
      <w:rFonts w:eastAsia="SimSun"/>
      <w:kern w:val="2"/>
      <w:sz w:val="24"/>
      <w:szCs w:val="24"/>
      <w:lang w:eastAsia="zh-CN"/>
    </w:rPr>
  </w:style>
  <w:style w:type="paragraph" w:styleId="DocumentMap">
    <w:name w:val="Document Map"/>
    <w:basedOn w:val="Normal"/>
    <w:link w:val="DocumentMapChar"/>
    <w:rPr>
      <w:rFonts w:ascii="Tahoma" w:hAnsi="Tahoma"/>
      <w:sz w:val="16"/>
      <w:szCs w:val="16"/>
      <w:lang w:val="x-none" w:eastAsia="x-none"/>
    </w:rPr>
  </w:style>
  <w:style w:type="character" w:customStyle="1" w:styleId="DocumentMapChar">
    <w:name w:val="Document Map Char"/>
    <w:link w:val="DocumentMap"/>
    <w:rPr>
      <w:rFonts w:ascii="Tahoma" w:eastAsia="Times New Roman" w:hAnsi="Tahoma"/>
      <w:sz w:val="16"/>
      <w:szCs w:val="16"/>
      <w:lang w:val="x-none" w:eastAsia="x-none"/>
    </w:rPr>
  </w:style>
  <w:style w:type="paragraph" w:customStyle="1" w:styleId="Normal1">
    <w:name w:val="Normal1"/>
    <w:basedOn w:val="Normal"/>
    <w:pPr>
      <w:spacing w:before="100" w:beforeAutospacing="1" w:after="100" w:afterAutospacing="1"/>
    </w:pPr>
    <w:rPr>
      <w:color w:val="000000"/>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character" w:customStyle="1" w:styleId="CharChar1">
    <w:name w:val="Char Char1"/>
    <w:locked/>
    <w:rPr>
      <w:rFonts w:ascii=".VnArialH" w:hAnsi=".VnArialH"/>
      <w:b/>
      <w:sz w:val="28"/>
      <w:lang w:val="en-US" w:eastAsia="en-US" w:bidi="ar-SA"/>
    </w:rPr>
  </w:style>
  <w:style w:type="character" w:customStyle="1" w:styleId="CharChar0">
    <w:name w:val="Char Char"/>
    <w:locked/>
    <w:rPr>
      <w:rFonts w:ascii="Tahoma" w:hAnsi="Tahoma" w:cs="Tahoma"/>
      <w:sz w:val="16"/>
      <w:szCs w:val="16"/>
      <w:lang w:val="en-US" w:eastAsia="en-US" w:bidi="ar-SA"/>
    </w:rPr>
  </w:style>
  <w:style w:type="character" w:styleId="CommentReference">
    <w:name w:val="annotation reference"/>
    <w:rPr>
      <w:sz w:val="16"/>
      <w:szCs w:val="16"/>
    </w:rPr>
  </w:style>
  <w:style w:type="paragraph" w:styleId="CommentText">
    <w:name w:val="annotation text"/>
    <w:basedOn w:val="Normal"/>
    <w:link w:val="CommentTextChar"/>
    <w:rPr>
      <w:rFonts w:ascii=".VnTime" w:hAnsi=".VnTime"/>
      <w:sz w:val="20"/>
      <w:szCs w:val="20"/>
    </w:rPr>
  </w:style>
  <w:style w:type="character" w:customStyle="1" w:styleId="CommentTextChar">
    <w:name w:val="Comment Text Char"/>
    <w:link w:val="CommentText"/>
    <w:rPr>
      <w:rFonts w:ascii=".VnTime" w:eastAsia="Times New Roman" w:hAnsi=".VnTim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VnTime" w:eastAsia="Times New Roman" w:hAnsi=".VnTime"/>
      <w:b/>
      <w:bC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next w:val="Header"/>
    <w:semiHidden/>
    <w:pPr>
      <w:spacing w:after="160" w:line="240" w:lineRule="exact"/>
    </w:pPr>
    <w:rPr>
      <w:sz w:val="28"/>
      <w:szCs w:val="22"/>
    </w:rPr>
  </w:style>
  <w:style w:type="paragraph" w:customStyle="1" w:styleId="msonormal0">
    <w:name w:val="msonormal"/>
    <w:basedOn w:val="Normal"/>
    <w:pPr>
      <w:spacing w:before="100" w:beforeAutospacing="1" w:after="100" w:afterAutospacing="1"/>
    </w:pPr>
  </w:style>
  <w:style w:type="paragraph" w:customStyle="1" w:styleId="xl164">
    <w:name w:val="xl164"/>
    <w:basedOn w:val="Normal"/>
    <w:pPr>
      <w:shd w:val="clear" w:color="000000" w:fill="FFFFFF"/>
      <w:spacing w:before="100" w:beforeAutospacing="1" w:after="100" w:afterAutospacing="1"/>
    </w:pPr>
  </w:style>
  <w:style w:type="paragraph" w:customStyle="1" w:styleId="xl165">
    <w:name w:val="xl165"/>
    <w:basedOn w:val="Normal"/>
    <w:pPr>
      <w:shd w:val="clear" w:color="000000" w:fill="FFFFFF"/>
      <w:spacing w:before="100" w:beforeAutospacing="1" w:after="100" w:afterAutospacing="1"/>
      <w:jc w:val="center"/>
    </w:pPr>
  </w:style>
  <w:style w:type="paragraph" w:customStyle="1" w:styleId="xl166">
    <w:name w:val="xl166"/>
    <w:basedOn w:val="Normal"/>
    <w:pPr>
      <w:shd w:val="clear" w:color="000000" w:fill="FFFFFF"/>
      <w:spacing w:before="100" w:beforeAutospacing="1" w:after="100" w:afterAutospacing="1"/>
    </w:pPr>
    <w:rPr>
      <w:rFonts w:ascii="Calibri" w:hAnsi="Calibri" w:cs="Calibri"/>
      <w:color w:val="000000"/>
      <w:sz w:val="22"/>
      <w:szCs w:val="22"/>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70">
    <w:name w:val="xl17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71">
    <w:name w:val="xl1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2">
    <w:name w:val="xl172"/>
    <w:basedOn w:val="Normal"/>
    <w:pPr>
      <w:shd w:val="clear" w:color="000000" w:fill="FFFFFF"/>
      <w:spacing w:before="100" w:beforeAutospacing="1" w:after="100" w:afterAutospacing="1"/>
    </w:pPr>
    <w:rPr>
      <w:b/>
      <w:bCs/>
    </w:rPr>
  </w:style>
  <w:style w:type="paragraph" w:customStyle="1" w:styleId="xl173">
    <w:name w:val="xl173"/>
    <w:basedOn w:val="Normal"/>
    <w:pPr>
      <w:shd w:val="clear" w:color="000000" w:fill="FFFFFF"/>
      <w:spacing w:before="100" w:beforeAutospacing="1" w:after="100" w:afterAutospacing="1"/>
    </w:pPr>
  </w:style>
  <w:style w:type="paragraph" w:customStyle="1" w:styleId="xl174">
    <w:name w:val="xl174"/>
    <w:basedOn w:val="Normal"/>
    <w:pPr>
      <w:shd w:val="clear" w:color="000000" w:fill="FFFFFF"/>
      <w:spacing w:before="100" w:beforeAutospacing="1" w:after="100" w:afterAutospacing="1"/>
      <w:jc w:val="center"/>
      <w:textAlignment w:val="center"/>
    </w:pPr>
    <w:rPr>
      <w:rFonts w:ascii="Arial" w:hAnsi="Arial" w:cs="Arial"/>
      <w:sz w:val="22"/>
      <w:szCs w:val="22"/>
    </w:rPr>
  </w:style>
  <w:style w:type="paragraph" w:customStyle="1" w:styleId="xl175">
    <w:name w:val="xl175"/>
    <w:basedOn w:val="Normal"/>
    <w:pPr>
      <w:shd w:val="clear" w:color="000000" w:fill="FFFFFF"/>
      <w:spacing w:before="100" w:beforeAutospacing="1" w:after="100" w:afterAutospacing="1"/>
    </w:pPr>
  </w:style>
  <w:style w:type="paragraph" w:customStyle="1" w:styleId="xl176">
    <w:name w:val="xl176"/>
    <w:basedOn w:val="Normal"/>
    <w:pPr>
      <w:shd w:val="clear" w:color="000000" w:fill="FFFFFF"/>
      <w:spacing w:before="100" w:beforeAutospacing="1" w:after="100" w:afterAutospacing="1"/>
    </w:pPr>
    <w:rPr>
      <w:b/>
      <w:bCs/>
      <w:i/>
      <w:iCs/>
      <w:sz w:val="22"/>
      <w:szCs w:val="22"/>
    </w:rPr>
  </w:style>
  <w:style w:type="paragraph" w:customStyle="1" w:styleId="xl177">
    <w:name w:val="xl177"/>
    <w:basedOn w:val="Normal"/>
    <w:pPr>
      <w:shd w:val="clear" w:color="000000" w:fill="FFFFFF"/>
      <w:spacing w:before="100" w:beforeAutospacing="1" w:after="100" w:afterAutospacing="1"/>
    </w:pPr>
    <w:rPr>
      <w:b/>
      <w:bCs/>
      <w:i/>
      <w:iCs/>
    </w:rPr>
  </w:style>
  <w:style w:type="paragraph" w:customStyle="1" w:styleId="xl178">
    <w:name w:val="xl178"/>
    <w:basedOn w:val="Normal"/>
    <w:pPr>
      <w:shd w:val="clear" w:color="000000" w:fill="FFFFFF"/>
      <w:spacing w:before="100" w:beforeAutospacing="1" w:after="100" w:afterAutospacing="1"/>
      <w:jc w:val="center"/>
      <w:textAlignment w:val="center"/>
    </w:pPr>
    <w:rPr>
      <w:rFonts w:ascii="Arial" w:hAnsi="Arial" w:cs="Arial"/>
      <w:b/>
      <w:bCs/>
      <w:i/>
      <w:iCs/>
      <w:sz w:val="22"/>
      <w:szCs w:val="22"/>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80">
    <w:name w:val="xl180"/>
    <w:basedOn w:val="Normal"/>
    <w:pPr>
      <w:shd w:val="clear" w:color="000000" w:fill="FFFFFF"/>
      <w:spacing w:before="100" w:beforeAutospacing="1" w:after="100" w:afterAutospacing="1"/>
    </w:pPr>
    <w:rPr>
      <w:b/>
      <w:bCs/>
      <w:i/>
      <w:iCs/>
      <w:sz w:val="22"/>
      <w:szCs w:val="22"/>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2">
    <w:name w:val="xl18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83">
    <w:name w:val="xl1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6">
    <w:name w:val="xl18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sz w:val="22"/>
      <w:szCs w:val="22"/>
    </w:rPr>
  </w:style>
  <w:style w:type="paragraph" w:customStyle="1" w:styleId="xl187">
    <w:name w:val="xl187"/>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sz w:val="22"/>
      <w:szCs w:val="22"/>
    </w:rPr>
  </w:style>
  <w:style w:type="paragraph" w:customStyle="1" w:styleId="xl188">
    <w:name w:val="xl18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89">
    <w:name w:val="xl189"/>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0">
    <w:name w:val="xl190"/>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3">
    <w:name w:val="xl19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4">
    <w:name w:val="xl194"/>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96">
    <w:name w:val="xl196"/>
    <w:basedOn w:val="Normal"/>
    <w:pPr>
      <w:shd w:val="clear" w:color="000000" w:fill="FFFFFF"/>
      <w:spacing w:before="100" w:beforeAutospacing="1" w:after="100" w:afterAutospacing="1"/>
      <w:jc w:val="right"/>
    </w:p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Normal2">
    <w:name w:val="Normal2"/>
    <w:basedOn w:val="Normal"/>
    <w:pPr>
      <w:spacing w:before="100" w:beforeAutospacing="1" w:after="100" w:afterAutospacing="1"/>
    </w:pPr>
    <w:rPr>
      <w:color w:val="000000"/>
    </w:rPr>
  </w:style>
  <w:style w:type="paragraph" w:customStyle="1" w:styleId="font5">
    <w:name w:val="font5"/>
    <w:basedOn w:val="Normal"/>
    <w:pPr>
      <w:spacing w:before="100" w:beforeAutospacing="1" w:after="100" w:afterAutospacing="1"/>
    </w:pPr>
    <w:rPr>
      <w:color w:val="000000"/>
      <w:sz w:val="20"/>
      <w:szCs w:val="20"/>
    </w:rPr>
  </w:style>
  <w:style w:type="paragraph" w:customStyle="1" w:styleId="xl200">
    <w:name w:val="xl200"/>
    <w:basedOn w:val="Normal"/>
    <w:pPr>
      <w:shd w:val="clear" w:color="000000" w:fill="FFFFFF"/>
      <w:spacing w:before="100" w:beforeAutospacing="1" w:after="100" w:afterAutospacing="1"/>
      <w:jc w:val="right"/>
    </w:pPr>
  </w:style>
  <w:style w:type="paragraph" w:customStyle="1" w:styleId="xl201">
    <w:name w:val="xl201"/>
    <w:basedOn w:val="Normal"/>
    <w:pPr>
      <w:shd w:val="clear" w:color="000000" w:fill="FFFFFF"/>
      <w:spacing w:before="100" w:beforeAutospacing="1" w:after="100" w:afterAutospacing="1"/>
    </w:pPr>
    <w:rPr>
      <w:b/>
      <w:bCs/>
      <w:color w:val="000000"/>
      <w:sz w:val="18"/>
      <w:szCs w:val="18"/>
    </w:rPr>
  </w:style>
  <w:style w:type="paragraph" w:customStyle="1" w:styleId="xl202">
    <w:name w:val="xl202"/>
    <w:basedOn w:val="Normal"/>
    <w:pPr>
      <w:shd w:val="clear" w:color="000000" w:fill="FFFFFF"/>
      <w:spacing w:before="100" w:beforeAutospacing="1" w:after="100" w:afterAutospacing="1"/>
    </w:pPr>
    <w:rPr>
      <w:b/>
      <w:bCs/>
      <w:i/>
      <w:iCs/>
      <w:color w:val="000000"/>
      <w:sz w:val="18"/>
      <w:szCs w:val="18"/>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06">
    <w:name w:val="xl206"/>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i/>
      <w:iCs/>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208">
    <w:name w:val="xl208"/>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color w:val="000000"/>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3">
    <w:name w:val="xl213"/>
    <w:basedOn w:val="Normal"/>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color w:val="000000"/>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19">
    <w:name w:val="xl219"/>
    <w:basedOn w:val="Normal"/>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i/>
      <w:iCs/>
      <w:color w:val="000000"/>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i/>
      <w:iCs/>
      <w:color w:val="000000"/>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24">
    <w:name w:val="xl224"/>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229">
    <w:name w:val="xl229"/>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2">
    <w:name w:val="xl232"/>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34">
    <w:name w:val="xl234"/>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0">
    <w:name w:val="xl24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1">
    <w:name w:val="xl241"/>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42">
    <w:name w:val="xl242"/>
    <w:basedOn w:val="Normal"/>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3">
    <w:name w:val="xl243"/>
    <w:basedOn w:val="Normal"/>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5">
    <w:name w:val="xl24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6">
    <w:name w:val="xl24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7">
    <w:name w:val="xl2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248">
    <w:name w:val="xl2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1">
    <w:name w:val="xl251"/>
    <w:basedOn w:val="Normal"/>
    <w:pPr>
      <w:spacing w:before="100" w:beforeAutospacing="1" w:after="100" w:afterAutospacing="1"/>
      <w:jc w:val="right"/>
    </w:pPr>
    <w:rPr>
      <w:color w:val="000000"/>
    </w:rPr>
  </w:style>
  <w:style w:type="paragraph" w:customStyle="1" w:styleId="xl252">
    <w:name w:val="xl252"/>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5">
    <w:name w:val="xl25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56">
    <w:name w:val="xl256"/>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57">
    <w:name w:val="xl257"/>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8">
    <w:name w:val="xl258"/>
    <w:basedOn w:val="Normal"/>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9">
    <w:name w:val="xl259"/>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60">
    <w:name w:val="xl2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1">
    <w:name w:val="xl261"/>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2">
    <w:name w:val="xl26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3">
    <w:name w:val="xl263"/>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64">
    <w:name w:val="xl264"/>
    <w:basedOn w:val="Normal"/>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65">
    <w:name w:val="xl265"/>
    <w:basedOn w:val="Normal"/>
    <w:pPr>
      <w:pBdr>
        <w:top w:val="single" w:sz="4" w:space="0" w:color="000000"/>
        <w:left w:val="single" w:sz="4" w:space="0" w:color="000000"/>
      </w:pBdr>
      <w:shd w:val="clear" w:color="000000" w:fill="FFFFFF"/>
      <w:spacing w:before="100" w:beforeAutospacing="1" w:after="100" w:afterAutospacing="1"/>
      <w:jc w:val="center"/>
      <w:textAlignment w:val="center"/>
    </w:pPr>
    <w:rPr>
      <w:b/>
      <w:bCs/>
    </w:rPr>
  </w:style>
  <w:style w:type="paragraph" w:customStyle="1" w:styleId="xl266">
    <w:name w:val="xl2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Normal"/>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268">
    <w:name w:val="xl268"/>
    <w:basedOn w:val="Normal"/>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69">
    <w:name w:val="xl269"/>
    <w:basedOn w:val="Normal"/>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270">
    <w:name w:val="xl270"/>
    <w:basedOn w:val="Normal"/>
    <w:pPr>
      <w:pBdr>
        <w:left w:val="single" w:sz="4" w:space="0" w:color="auto"/>
      </w:pBdr>
      <w:spacing w:before="100" w:beforeAutospacing="1" w:after="100" w:afterAutospacing="1"/>
      <w:jc w:val="center"/>
      <w:textAlignment w:val="center"/>
    </w:pPr>
    <w:rPr>
      <w:color w:val="000000"/>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72">
    <w:name w:val="xl27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rPr>
  </w:style>
  <w:style w:type="paragraph" w:customStyle="1" w:styleId="xl273">
    <w:name w:val="xl273"/>
    <w:basedOn w:val="Normal"/>
    <w:pPr>
      <w:shd w:val="clear" w:color="000000" w:fill="FFFF00"/>
      <w:spacing w:before="100" w:beforeAutospacing="1" w:after="100" w:afterAutospacing="1"/>
    </w:pPr>
    <w:rPr>
      <w:i/>
      <w:iCs/>
      <w:color w:val="000000"/>
      <w:sz w:val="18"/>
      <w:szCs w:val="18"/>
    </w:rPr>
  </w:style>
  <w:style w:type="paragraph" w:customStyle="1" w:styleId="xl274">
    <w:name w:val="xl27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color w:val="000000"/>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rPr>
  </w:style>
  <w:style w:type="paragraph" w:customStyle="1" w:styleId="xl276">
    <w:name w:val="xl27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rPr>
  </w:style>
  <w:style w:type="paragraph" w:customStyle="1" w:styleId="xl138">
    <w:name w:val="xl138"/>
    <w:basedOn w:val="Normal"/>
    <w:pPr>
      <w:shd w:val="clear" w:color="000000" w:fill="FFFFFF"/>
      <w:spacing w:before="100" w:beforeAutospacing="1" w:after="100" w:afterAutospacing="1"/>
    </w:pPr>
  </w:style>
  <w:style w:type="paragraph" w:customStyle="1" w:styleId="xl139">
    <w:name w:val="xl139"/>
    <w:basedOn w:val="Normal"/>
    <w:pPr>
      <w:shd w:val="clear" w:color="000000" w:fill="FFFFFF"/>
      <w:spacing w:before="100" w:beforeAutospacing="1" w:after="100" w:afterAutospacing="1"/>
      <w:jc w:val="center"/>
    </w:pPr>
  </w:style>
  <w:style w:type="paragraph" w:customStyle="1" w:styleId="xl140">
    <w:name w:val="xl140"/>
    <w:basedOn w:val="Normal"/>
    <w:pPr>
      <w:shd w:val="clear" w:color="000000" w:fill="FFFFFF"/>
      <w:spacing w:before="100" w:beforeAutospacing="1" w:after="100" w:afterAutospacing="1"/>
    </w:pPr>
    <w:rPr>
      <w:rFonts w:ascii="Calibri" w:hAnsi="Calibri" w:cs="Calibri"/>
      <w:color w:val="000000"/>
      <w:sz w:val="22"/>
      <w:szCs w:val="22"/>
    </w:rPr>
  </w:style>
  <w:style w:type="paragraph" w:customStyle="1" w:styleId="xl141">
    <w:name w:val="xl141"/>
    <w:basedOn w:val="Normal"/>
    <w:pPr>
      <w:shd w:val="clear" w:color="000000" w:fill="FFFFFF"/>
      <w:spacing w:before="100" w:beforeAutospacing="1" w:after="100" w:afterAutospacing="1"/>
    </w:pPr>
    <w:rPr>
      <w:b/>
      <w:bCs/>
    </w:rPr>
  </w:style>
  <w:style w:type="paragraph" w:customStyle="1" w:styleId="xl142">
    <w:name w:val="xl142"/>
    <w:basedOn w:val="Normal"/>
    <w:pPr>
      <w:shd w:val="clear" w:color="000000" w:fill="FFFFFF"/>
      <w:spacing w:before="100" w:beforeAutospacing="1" w:after="100" w:afterAutospacing="1"/>
    </w:pPr>
    <w:rPr>
      <w:rFonts w:ascii="Arial" w:hAnsi="Arial" w:cs="Arial"/>
    </w:rPr>
  </w:style>
  <w:style w:type="paragraph" w:customStyle="1" w:styleId="xl143">
    <w:name w:val="xl143"/>
    <w:basedOn w:val="Normal"/>
    <w:pPr>
      <w:shd w:val="clear" w:color="000000" w:fill="FFFFFF"/>
      <w:spacing w:before="100" w:beforeAutospacing="1" w:after="100" w:afterAutospacing="1"/>
      <w:jc w:val="center"/>
      <w:textAlignment w:val="center"/>
    </w:pPr>
  </w:style>
  <w:style w:type="paragraph" w:customStyle="1" w:styleId="xl144">
    <w:name w:val="xl14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7">
    <w:name w:val="xl14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Normal"/>
    <w:pPr>
      <w:shd w:val="clear" w:color="000000" w:fill="FFFFFF"/>
      <w:spacing w:before="100" w:beforeAutospacing="1" w:after="100" w:afterAutospacing="1"/>
      <w:jc w:val="center"/>
      <w:textAlignment w:val="center"/>
    </w:pPr>
  </w:style>
  <w:style w:type="paragraph" w:customStyle="1" w:styleId="xl149">
    <w:name w:val="xl149"/>
    <w:basedOn w:val="Normal"/>
    <w:pPr>
      <w:shd w:val="clear" w:color="000000" w:fill="FFFFFF"/>
      <w:spacing w:before="100" w:beforeAutospacing="1" w:after="100" w:afterAutospacing="1"/>
      <w:textAlignment w:val="center"/>
    </w:pPr>
  </w:style>
  <w:style w:type="paragraph" w:customStyle="1" w:styleId="xl150">
    <w:name w:val="xl150"/>
    <w:basedOn w:val="Normal"/>
    <w:pPr>
      <w:shd w:val="clear" w:color="000000" w:fill="FFFFFF"/>
      <w:spacing w:before="100" w:beforeAutospacing="1" w:after="100" w:afterAutospacing="1"/>
      <w:jc w:val="right"/>
      <w:textAlignment w:val="center"/>
    </w:p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152">
    <w:name w:val="xl15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3">
    <w:name w:val="xl15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4">
    <w:name w:val="xl15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5">
    <w:name w:val="xl15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2">
    <w:name w:val="xl16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63">
    <w:name w:val="xl16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character" w:customStyle="1" w:styleId="NormalWebChar">
    <w:name w:val="Normal (Web) Char"/>
    <w:link w:val="NormalWeb"/>
    <w:uiPriority w:val="99"/>
    <w:rPr>
      <w:rFonts w:ascii="Times New Roman" w:hAnsi="Times New Roman"/>
      <w:sz w:val="24"/>
      <w:szCs w:val="24"/>
    </w:rPr>
  </w:style>
  <w:style w:type="character" w:styleId="SubtleEmphasis">
    <w:name w:val="Subtle Emphasis"/>
    <w:uiPriority w:val="19"/>
    <w:qFormat/>
    <w:rPr>
      <w:i/>
      <w:iCs/>
      <w:color w:val="808080"/>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Times New Roman" w:eastAsia="Times New Roman" w:hAnsi="Times New Roman"/>
      <w:lang w:val="en-US" w:eastAsia="en-US"/>
    </w:rPr>
  </w:style>
  <w:style w:type="character" w:styleId="EndnoteReference">
    <w:name w:val="endnote reference"/>
    <w:uiPriority w:val="99"/>
    <w:semiHidden/>
    <w:unhideWhenUsed/>
    <w:rPr>
      <w:vertAlign w:val="superscript"/>
    </w:rPr>
  </w:style>
  <w:style w:type="character" w:customStyle="1" w:styleId="UnresolvedMention1">
    <w:name w:val="Unresolved Mention1"/>
    <w:uiPriority w:val="99"/>
    <w:semiHidden/>
    <w:unhideWhenUsed/>
    <w:rPr>
      <w:color w:val="605E5C"/>
      <w:shd w:val="clear" w:color="auto" w:fill="E1DFDD"/>
    </w:rPr>
  </w:style>
  <w:style w:type="character" w:customStyle="1" w:styleId="fontstyle21">
    <w:name w:val="fontstyle21"/>
    <w:basedOn w:val="DefaultParagraphFont"/>
    <w:rPr>
      <w:rFonts w:ascii="TimesNewRomanPS-ItalicMT" w:hAnsi="TimesNewRomanPS-ItalicMT" w:hint="default"/>
      <w:b w:val="0"/>
      <w:bCs w:val="0"/>
      <w:i/>
      <w:iCs/>
      <w:color w:val="000000"/>
      <w:sz w:val="26"/>
      <w:szCs w:val="26"/>
    </w:rPr>
  </w:style>
  <w:style w:type="character" w:customStyle="1" w:styleId="fontstyle31">
    <w:name w:val="fontstyle31"/>
    <w:basedOn w:val="DefaultParagraphFont"/>
    <w:rPr>
      <w:rFonts w:ascii="TimesNewRomanPS-BoldItalicMT" w:hAnsi="TimesNewRomanPS-BoldItalicMT" w:hint="default"/>
      <w:b/>
      <w:bCs/>
      <w:i/>
      <w:iCs/>
      <w:color w:val="000000"/>
      <w:sz w:val="38"/>
      <w:szCs w:val="38"/>
    </w:rPr>
  </w:style>
  <w:style w:type="character" w:customStyle="1" w:styleId="fontstyle01">
    <w:name w:val="fontstyle01"/>
    <w:basedOn w:val="DefaultParagraphFont"/>
    <w:rPr>
      <w:rFonts w:ascii="TimesNewRomanPSMT" w:hAnsi="TimesNewRomanPSMT" w:hint="default"/>
      <w:b w:val="0"/>
      <w:bCs w:val="0"/>
      <w:i w:val="0"/>
      <w:iCs w:val="0"/>
      <w:color w:val="000000"/>
      <w:sz w:val="38"/>
      <w:szCs w:val="38"/>
    </w:rPr>
  </w:style>
  <w:style w:type="paragraph" w:customStyle="1" w:styleId="Mcnidung">
    <w:name w:val="Mục nội dung"/>
    <w:basedOn w:val="Normal"/>
    <w:link w:val="McnidungChar2"/>
    <w:qFormat/>
    <w:pPr>
      <w:spacing w:before="60" w:after="60" w:line="288" w:lineRule="auto"/>
      <w:ind w:firstLine="567"/>
      <w:jc w:val="both"/>
    </w:pPr>
    <w:rPr>
      <w:noProof/>
      <w:sz w:val="28"/>
      <w:szCs w:val="28"/>
      <w:lang w:val="pt-BR"/>
    </w:rPr>
  </w:style>
  <w:style w:type="character" w:customStyle="1" w:styleId="McnidungChar2">
    <w:name w:val="Mục nội dung Char2"/>
    <w:link w:val="Mcnidung"/>
    <w:rPr>
      <w:rFonts w:ascii="Times New Roman" w:eastAsia="Times New Roman" w:hAnsi="Times New Roman"/>
      <w:noProof/>
      <w:sz w:val="28"/>
      <w:szCs w:val="2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5666">
      <w:bodyDiv w:val="1"/>
      <w:marLeft w:val="0"/>
      <w:marRight w:val="0"/>
      <w:marTop w:val="0"/>
      <w:marBottom w:val="0"/>
      <w:divBdr>
        <w:top w:val="none" w:sz="0" w:space="0" w:color="auto"/>
        <w:left w:val="none" w:sz="0" w:space="0" w:color="auto"/>
        <w:bottom w:val="none" w:sz="0" w:space="0" w:color="auto"/>
        <w:right w:val="none" w:sz="0" w:space="0" w:color="auto"/>
      </w:divBdr>
    </w:div>
    <w:div w:id="107242308">
      <w:bodyDiv w:val="1"/>
      <w:marLeft w:val="0"/>
      <w:marRight w:val="0"/>
      <w:marTop w:val="0"/>
      <w:marBottom w:val="0"/>
      <w:divBdr>
        <w:top w:val="none" w:sz="0" w:space="0" w:color="auto"/>
        <w:left w:val="none" w:sz="0" w:space="0" w:color="auto"/>
        <w:bottom w:val="none" w:sz="0" w:space="0" w:color="auto"/>
        <w:right w:val="none" w:sz="0" w:space="0" w:color="auto"/>
      </w:divBdr>
    </w:div>
    <w:div w:id="143091411">
      <w:bodyDiv w:val="1"/>
      <w:marLeft w:val="0"/>
      <w:marRight w:val="0"/>
      <w:marTop w:val="0"/>
      <w:marBottom w:val="0"/>
      <w:divBdr>
        <w:top w:val="none" w:sz="0" w:space="0" w:color="auto"/>
        <w:left w:val="none" w:sz="0" w:space="0" w:color="auto"/>
        <w:bottom w:val="none" w:sz="0" w:space="0" w:color="auto"/>
        <w:right w:val="none" w:sz="0" w:space="0" w:color="auto"/>
      </w:divBdr>
    </w:div>
    <w:div w:id="226768472">
      <w:bodyDiv w:val="1"/>
      <w:marLeft w:val="0"/>
      <w:marRight w:val="0"/>
      <w:marTop w:val="0"/>
      <w:marBottom w:val="0"/>
      <w:divBdr>
        <w:top w:val="none" w:sz="0" w:space="0" w:color="auto"/>
        <w:left w:val="none" w:sz="0" w:space="0" w:color="auto"/>
        <w:bottom w:val="none" w:sz="0" w:space="0" w:color="auto"/>
        <w:right w:val="none" w:sz="0" w:space="0" w:color="auto"/>
      </w:divBdr>
    </w:div>
    <w:div w:id="290399560">
      <w:bodyDiv w:val="1"/>
      <w:marLeft w:val="0"/>
      <w:marRight w:val="0"/>
      <w:marTop w:val="0"/>
      <w:marBottom w:val="0"/>
      <w:divBdr>
        <w:top w:val="none" w:sz="0" w:space="0" w:color="auto"/>
        <w:left w:val="none" w:sz="0" w:space="0" w:color="auto"/>
        <w:bottom w:val="none" w:sz="0" w:space="0" w:color="auto"/>
        <w:right w:val="none" w:sz="0" w:space="0" w:color="auto"/>
      </w:divBdr>
    </w:div>
    <w:div w:id="709450555">
      <w:bodyDiv w:val="1"/>
      <w:marLeft w:val="0"/>
      <w:marRight w:val="0"/>
      <w:marTop w:val="0"/>
      <w:marBottom w:val="0"/>
      <w:divBdr>
        <w:top w:val="none" w:sz="0" w:space="0" w:color="auto"/>
        <w:left w:val="none" w:sz="0" w:space="0" w:color="auto"/>
        <w:bottom w:val="none" w:sz="0" w:space="0" w:color="auto"/>
        <w:right w:val="none" w:sz="0" w:space="0" w:color="auto"/>
      </w:divBdr>
    </w:div>
    <w:div w:id="754132574">
      <w:bodyDiv w:val="1"/>
      <w:marLeft w:val="0"/>
      <w:marRight w:val="0"/>
      <w:marTop w:val="0"/>
      <w:marBottom w:val="0"/>
      <w:divBdr>
        <w:top w:val="none" w:sz="0" w:space="0" w:color="auto"/>
        <w:left w:val="none" w:sz="0" w:space="0" w:color="auto"/>
        <w:bottom w:val="none" w:sz="0" w:space="0" w:color="auto"/>
        <w:right w:val="none" w:sz="0" w:space="0" w:color="auto"/>
      </w:divBdr>
    </w:div>
    <w:div w:id="783615012">
      <w:bodyDiv w:val="1"/>
      <w:marLeft w:val="0"/>
      <w:marRight w:val="0"/>
      <w:marTop w:val="0"/>
      <w:marBottom w:val="0"/>
      <w:divBdr>
        <w:top w:val="none" w:sz="0" w:space="0" w:color="auto"/>
        <w:left w:val="none" w:sz="0" w:space="0" w:color="auto"/>
        <w:bottom w:val="none" w:sz="0" w:space="0" w:color="auto"/>
        <w:right w:val="none" w:sz="0" w:space="0" w:color="auto"/>
      </w:divBdr>
    </w:div>
    <w:div w:id="800921522">
      <w:bodyDiv w:val="1"/>
      <w:marLeft w:val="0"/>
      <w:marRight w:val="0"/>
      <w:marTop w:val="0"/>
      <w:marBottom w:val="0"/>
      <w:divBdr>
        <w:top w:val="none" w:sz="0" w:space="0" w:color="auto"/>
        <w:left w:val="none" w:sz="0" w:space="0" w:color="auto"/>
        <w:bottom w:val="none" w:sz="0" w:space="0" w:color="auto"/>
        <w:right w:val="none" w:sz="0" w:space="0" w:color="auto"/>
      </w:divBdr>
    </w:div>
    <w:div w:id="1043939393">
      <w:bodyDiv w:val="1"/>
      <w:marLeft w:val="0"/>
      <w:marRight w:val="0"/>
      <w:marTop w:val="0"/>
      <w:marBottom w:val="0"/>
      <w:divBdr>
        <w:top w:val="none" w:sz="0" w:space="0" w:color="auto"/>
        <w:left w:val="none" w:sz="0" w:space="0" w:color="auto"/>
        <w:bottom w:val="none" w:sz="0" w:space="0" w:color="auto"/>
        <w:right w:val="none" w:sz="0" w:space="0" w:color="auto"/>
      </w:divBdr>
    </w:div>
    <w:div w:id="1213469403">
      <w:bodyDiv w:val="1"/>
      <w:marLeft w:val="0"/>
      <w:marRight w:val="0"/>
      <w:marTop w:val="0"/>
      <w:marBottom w:val="0"/>
      <w:divBdr>
        <w:top w:val="none" w:sz="0" w:space="0" w:color="auto"/>
        <w:left w:val="none" w:sz="0" w:space="0" w:color="auto"/>
        <w:bottom w:val="none" w:sz="0" w:space="0" w:color="auto"/>
        <w:right w:val="none" w:sz="0" w:space="0" w:color="auto"/>
      </w:divBdr>
    </w:div>
    <w:div w:id="1235386350">
      <w:bodyDiv w:val="1"/>
      <w:marLeft w:val="0"/>
      <w:marRight w:val="0"/>
      <w:marTop w:val="0"/>
      <w:marBottom w:val="0"/>
      <w:divBdr>
        <w:top w:val="none" w:sz="0" w:space="0" w:color="auto"/>
        <w:left w:val="none" w:sz="0" w:space="0" w:color="auto"/>
        <w:bottom w:val="none" w:sz="0" w:space="0" w:color="auto"/>
        <w:right w:val="none" w:sz="0" w:space="0" w:color="auto"/>
      </w:divBdr>
    </w:div>
    <w:div w:id="1235510896">
      <w:bodyDiv w:val="1"/>
      <w:marLeft w:val="0"/>
      <w:marRight w:val="0"/>
      <w:marTop w:val="0"/>
      <w:marBottom w:val="0"/>
      <w:divBdr>
        <w:top w:val="none" w:sz="0" w:space="0" w:color="auto"/>
        <w:left w:val="none" w:sz="0" w:space="0" w:color="auto"/>
        <w:bottom w:val="none" w:sz="0" w:space="0" w:color="auto"/>
        <w:right w:val="none" w:sz="0" w:space="0" w:color="auto"/>
      </w:divBdr>
    </w:div>
    <w:div w:id="1273436500">
      <w:bodyDiv w:val="1"/>
      <w:marLeft w:val="0"/>
      <w:marRight w:val="0"/>
      <w:marTop w:val="0"/>
      <w:marBottom w:val="0"/>
      <w:divBdr>
        <w:top w:val="none" w:sz="0" w:space="0" w:color="auto"/>
        <w:left w:val="none" w:sz="0" w:space="0" w:color="auto"/>
        <w:bottom w:val="none" w:sz="0" w:space="0" w:color="auto"/>
        <w:right w:val="none" w:sz="0" w:space="0" w:color="auto"/>
      </w:divBdr>
    </w:div>
    <w:div w:id="1588004077">
      <w:bodyDiv w:val="1"/>
      <w:marLeft w:val="0"/>
      <w:marRight w:val="0"/>
      <w:marTop w:val="0"/>
      <w:marBottom w:val="0"/>
      <w:divBdr>
        <w:top w:val="none" w:sz="0" w:space="0" w:color="auto"/>
        <w:left w:val="none" w:sz="0" w:space="0" w:color="auto"/>
        <w:bottom w:val="none" w:sz="0" w:space="0" w:color="auto"/>
        <w:right w:val="none" w:sz="0" w:space="0" w:color="auto"/>
      </w:divBdr>
    </w:div>
    <w:div w:id="1591114095">
      <w:bodyDiv w:val="1"/>
      <w:marLeft w:val="0"/>
      <w:marRight w:val="0"/>
      <w:marTop w:val="0"/>
      <w:marBottom w:val="0"/>
      <w:divBdr>
        <w:top w:val="none" w:sz="0" w:space="0" w:color="auto"/>
        <w:left w:val="none" w:sz="0" w:space="0" w:color="auto"/>
        <w:bottom w:val="none" w:sz="0" w:space="0" w:color="auto"/>
        <w:right w:val="none" w:sz="0" w:space="0" w:color="auto"/>
      </w:divBdr>
    </w:div>
    <w:div w:id="1860123212">
      <w:bodyDiv w:val="1"/>
      <w:marLeft w:val="0"/>
      <w:marRight w:val="0"/>
      <w:marTop w:val="0"/>
      <w:marBottom w:val="0"/>
      <w:divBdr>
        <w:top w:val="none" w:sz="0" w:space="0" w:color="auto"/>
        <w:left w:val="none" w:sz="0" w:space="0" w:color="auto"/>
        <w:bottom w:val="none" w:sz="0" w:space="0" w:color="auto"/>
        <w:right w:val="none" w:sz="0" w:space="0" w:color="auto"/>
      </w:divBdr>
    </w:div>
    <w:div w:id="1989629440">
      <w:bodyDiv w:val="1"/>
      <w:marLeft w:val="0"/>
      <w:marRight w:val="0"/>
      <w:marTop w:val="0"/>
      <w:marBottom w:val="0"/>
      <w:divBdr>
        <w:top w:val="none" w:sz="0" w:space="0" w:color="auto"/>
        <w:left w:val="none" w:sz="0" w:space="0" w:color="auto"/>
        <w:bottom w:val="none" w:sz="0" w:space="0" w:color="auto"/>
        <w:right w:val="none" w:sz="0" w:space="0" w:color="auto"/>
      </w:divBdr>
    </w:div>
    <w:div w:id="1995719799">
      <w:bodyDiv w:val="1"/>
      <w:marLeft w:val="0"/>
      <w:marRight w:val="0"/>
      <w:marTop w:val="0"/>
      <w:marBottom w:val="0"/>
      <w:divBdr>
        <w:top w:val="none" w:sz="0" w:space="0" w:color="auto"/>
        <w:left w:val="none" w:sz="0" w:space="0" w:color="auto"/>
        <w:bottom w:val="none" w:sz="0" w:space="0" w:color="auto"/>
        <w:right w:val="none" w:sz="0" w:space="0" w:color="auto"/>
      </w:divBdr>
    </w:div>
    <w:div w:id="2018119588">
      <w:bodyDiv w:val="1"/>
      <w:marLeft w:val="0"/>
      <w:marRight w:val="0"/>
      <w:marTop w:val="0"/>
      <w:marBottom w:val="0"/>
      <w:divBdr>
        <w:top w:val="none" w:sz="0" w:space="0" w:color="auto"/>
        <w:left w:val="none" w:sz="0" w:space="0" w:color="auto"/>
        <w:bottom w:val="none" w:sz="0" w:space="0" w:color="auto"/>
        <w:right w:val="none" w:sz="0" w:space="0" w:color="auto"/>
      </w:divBdr>
    </w:div>
    <w:div w:id="212680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22E5D-1674-4B37-B8A7-5E354E43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UBND TỈNH NGHỆ AN</vt:lpstr>
    </vt:vector>
  </TitlesOfParts>
  <Company>Microsoft</Company>
  <LinksUpToDate>false</LinksUpToDate>
  <CharactersWithSpaces>19484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NGHỆ AN</dc:title>
  <dc:creator>Admin</dc:creator>
  <cp:lastModifiedBy>Anh_Duc</cp:lastModifiedBy>
  <cp:revision>4</cp:revision>
  <cp:lastPrinted>2026-08-06T01:34:00Z</cp:lastPrinted>
  <dcterms:created xsi:type="dcterms:W3CDTF">2026-09-04T09:48:00Z</dcterms:created>
  <dcterms:modified xsi:type="dcterms:W3CDTF">2026-09-06T13:07:00Z</dcterms:modified>
</cp:coreProperties>
</file>