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9689" w:type="dxa"/>
        <w:tblInd w:w="-5" w:type="dxa"/>
        <w:tblLayout w:type="autofit"/>
        <w:tblCellMar>
          <w:top w:w="0" w:type="dxa"/>
          <w:left w:w="108" w:type="dxa"/>
          <w:bottom w:w="0" w:type="dxa"/>
          <w:right w:w="108" w:type="dxa"/>
        </w:tblCellMar>
      </w:tblPr>
      <w:tblGrid>
        <w:gridCol w:w="3420"/>
        <w:gridCol w:w="6269"/>
      </w:tblGrid>
      <w:tr w14:paraId="300EBB2B">
        <w:tblPrEx>
          <w:tblCellMar>
            <w:top w:w="0" w:type="dxa"/>
            <w:left w:w="108" w:type="dxa"/>
            <w:bottom w:w="0" w:type="dxa"/>
            <w:right w:w="108" w:type="dxa"/>
          </w:tblCellMar>
        </w:tblPrEx>
        <w:trPr>
          <w:trHeight w:val="426" w:hRule="atLeast"/>
        </w:trPr>
        <w:tc>
          <w:tcPr>
            <w:tcW w:w="3420" w:type="dxa"/>
          </w:tcPr>
          <w:p w14:paraId="2B581798">
            <w:pPr>
              <w:ind w:right="-108"/>
              <w:jc w:val="center"/>
              <w:rPr>
                <w:b/>
                <w:bCs/>
                <w:color w:val="000000"/>
                <w:sz w:val="25"/>
                <w:szCs w:val="25"/>
              </w:rPr>
            </w:pPr>
            <w:bookmarkStart w:id="1" w:name="_GoBack"/>
            <w:bookmarkEnd w:id="1"/>
            <w:r>
              <w:rPr>
                <w:color w:val="000000"/>
                <w:lang w:val="vi-VN"/>
              </w:rPr>
              <w:br w:type="page"/>
            </w:r>
            <w:r>
              <w:rPr>
                <w:b/>
                <w:bCs/>
                <w:color w:val="000000"/>
                <w:sz w:val="25"/>
                <w:szCs w:val="25"/>
                <w:lang w:val="vi-VN"/>
              </w:rPr>
              <w:t>ỦY BAN NHÂN DÂN</w:t>
            </w:r>
          </w:p>
          <w:p w14:paraId="6D8DFB28">
            <w:pPr>
              <w:jc w:val="center"/>
              <w:rPr>
                <w:b/>
                <w:color w:val="000000"/>
                <w:sz w:val="28"/>
                <w:szCs w:val="28"/>
              </w:rPr>
            </w:pPr>
            <w:r>
              <w:rPr>
                <w:b/>
                <w:bCs/>
                <w:color w:val="000000"/>
                <w:sz w:val="26"/>
                <w:szCs w:val="26"/>
              </w:rPr>
              <w:t>TỈNH HÀ TĨNH</w:t>
            </w:r>
            <w:r>
              <w:rPr>
                <w:b/>
                <w:bCs/>
                <w:color w:val="000000"/>
              </w:rPr>
              <mc:AlternateContent>
                <mc:Choice Requires="wps">
                  <w:drawing>
                    <wp:anchor distT="0" distB="0" distL="114300" distR="114300" simplePos="0" relativeHeight="251660288" behindDoc="0" locked="0" layoutInCell="1" allowOverlap="1">
                      <wp:simplePos x="0" y="0"/>
                      <wp:positionH relativeFrom="column">
                        <wp:posOffset>760730</wp:posOffset>
                      </wp:positionH>
                      <wp:positionV relativeFrom="paragraph">
                        <wp:posOffset>237490</wp:posOffset>
                      </wp:positionV>
                      <wp:extent cx="599440" cy="0"/>
                      <wp:effectExtent l="8890" t="6350" r="10795" b="12700"/>
                      <wp:wrapNone/>
                      <wp:docPr id="4" name="Straight Connector 7"/>
                      <wp:cNvGraphicFramePr/>
                      <a:graphic xmlns:a="http://schemas.openxmlformats.org/drawingml/2006/main">
                        <a:graphicData uri="http://schemas.microsoft.com/office/word/2010/wordprocessingShape">
                          <wps:wsp>
                            <wps:cNvCnPr>
                              <a:cxnSpLocks noChangeShapeType="1"/>
                            </wps:cNvCnPr>
                            <wps:spPr bwMode="auto">
                              <a:xfrm>
                                <a:off x="0" y="0"/>
                                <a:ext cx="599440" cy="0"/>
                              </a:xfrm>
                              <a:prstGeom prst="line">
                                <a:avLst/>
                              </a:prstGeom>
                              <a:noFill/>
                              <a:ln w="12700">
                                <a:solidFill>
                                  <a:srgbClr val="000000"/>
                                </a:solidFill>
                                <a:round/>
                              </a:ln>
                            </wps:spPr>
                            <wps:bodyPr/>
                          </wps:wsp>
                        </a:graphicData>
                      </a:graphic>
                    </wp:anchor>
                  </w:drawing>
                </mc:Choice>
                <mc:Fallback>
                  <w:pict>
                    <v:line id="Straight Connector 7" o:spid="_x0000_s1026" o:spt="20" style="position:absolute;left:0pt;margin-left:59.9pt;margin-top:18.7pt;height:0pt;width:47.2pt;z-index:251660288;mso-width-relative:page;mso-height-relative:page;" filled="f" stroked="t" coordsize="21600,21600" o:gfxdata="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Ia6MjXAAAACQEAAA8AAAAAAAAAAQAgAAAA&#10;IgAAAGRycy9kb3ducmV2LnhtbFBLAQIUABQAAAAIAIdO4kDMosgM0wEAAK0DAAAOAAAAAAAAAAEA&#10;IAAAACYBAABkcnMvZTJvRG9jLnhtbFBLBQYAAAAABgAGAFkBAABrBQAAAAA=&#10;">
                      <v:fill on="f" focussize="0,0"/>
                      <v:stroke weight="1pt" color="#000000" joinstyle="round"/>
                      <v:imagedata o:title=""/>
                      <o:lock v:ext="edit" aspectratio="f"/>
                    </v:line>
                  </w:pict>
                </mc:Fallback>
              </mc:AlternateContent>
            </w:r>
          </w:p>
        </w:tc>
        <w:tc>
          <w:tcPr>
            <w:tcW w:w="6269" w:type="dxa"/>
          </w:tcPr>
          <w:p w14:paraId="7AE91EAB">
            <w:pPr>
              <w:ind w:right="-108"/>
              <w:jc w:val="center"/>
              <w:outlineLvl w:val="8"/>
              <w:rPr>
                <w:b/>
                <w:bCs/>
                <w:color w:val="000000"/>
                <w:sz w:val="25"/>
                <w:szCs w:val="25"/>
                <w:lang w:val="vi-VN"/>
              </w:rPr>
            </w:pPr>
            <w:r>
              <w:rPr>
                <w:b/>
                <w:bCs/>
                <w:color w:val="000000"/>
                <w:sz w:val="25"/>
                <w:szCs w:val="25"/>
                <w:lang w:val="vi-VN"/>
              </w:rPr>
              <w:t>CỘNG HÒA XÃ HỘI CHỦ NGHĨA VIỆT NAM</w:t>
            </w:r>
          </w:p>
          <w:p w14:paraId="5C4A911D">
            <w:pPr>
              <w:ind w:right="-108"/>
              <w:jc w:val="center"/>
              <w:rPr>
                <w:b/>
                <w:bCs/>
                <w:color w:val="000000"/>
                <w:sz w:val="26"/>
                <w:szCs w:val="26"/>
              </w:rPr>
            </w:pPr>
            <w:r>
              <w:rPr>
                <w:b/>
                <w:bCs/>
                <w:color w:val="000000"/>
                <w:sz w:val="26"/>
                <w:szCs w:val="26"/>
              </w:rPr>
              <w:t>Độc lập - Tự do - Hạnh phúc</w:t>
            </w:r>
          </w:p>
          <w:p w14:paraId="33ADDD47">
            <w:pPr>
              <w:ind w:right="-108"/>
              <w:jc w:val="center"/>
              <w:rPr>
                <w:color w:val="000000"/>
                <w:vertAlign w:val="superscript"/>
              </w:rPr>
            </w:pPr>
            <w:r>
              <w:rPr>
                <w:color w:val="000000"/>
              </w:rPr>
              <mc:AlternateContent>
                <mc:Choice Requires="wps">
                  <w:drawing>
                    <wp:anchor distT="0" distB="0" distL="114300" distR="114300" simplePos="0" relativeHeight="251659264" behindDoc="0" locked="0" layoutInCell="1" allowOverlap="1">
                      <wp:simplePos x="0" y="0"/>
                      <wp:positionH relativeFrom="margin">
                        <wp:posOffset>969010</wp:posOffset>
                      </wp:positionH>
                      <wp:positionV relativeFrom="paragraph">
                        <wp:posOffset>31750</wp:posOffset>
                      </wp:positionV>
                      <wp:extent cx="2018030" cy="0"/>
                      <wp:effectExtent l="7620" t="9525" r="12700" b="9525"/>
                      <wp:wrapNone/>
                      <wp:docPr id="3" name="Straight Connector 8"/>
                      <wp:cNvGraphicFramePr/>
                      <a:graphic xmlns:a="http://schemas.openxmlformats.org/drawingml/2006/main">
                        <a:graphicData uri="http://schemas.microsoft.com/office/word/2010/wordprocessingShape">
                          <wps:wsp>
                            <wps:cNvCnPr>
                              <a:cxnSpLocks noChangeShapeType="1"/>
                            </wps:cNvCnPr>
                            <wps:spPr bwMode="auto">
                              <a:xfrm>
                                <a:off x="0" y="0"/>
                                <a:ext cx="2018030" cy="0"/>
                              </a:xfrm>
                              <a:prstGeom prst="line">
                                <a:avLst/>
                              </a:prstGeom>
                              <a:noFill/>
                              <a:ln w="12700">
                                <a:solidFill>
                                  <a:srgbClr val="000000"/>
                                </a:solidFill>
                                <a:round/>
                              </a:ln>
                            </wps:spPr>
                            <wps:bodyPr/>
                          </wps:wsp>
                        </a:graphicData>
                      </a:graphic>
                    </wp:anchor>
                  </w:drawing>
                </mc:Choice>
                <mc:Fallback>
                  <w:pict>
                    <v:line id="Straight Connector 8" o:spid="_x0000_s1026" o:spt="20" style="position:absolute;left:0pt;margin-left:76.3pt;margin-top:2.5pt;height:0pt;width:158.9pt;mso-position-horizontal-relative:margin;z-index:251659264;mso-width-relative:page;mso-height-relative:page;" filled="f" stroked="t" coordsize="21600,21600" o:gfxdata="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7UxVbdUAAAAHAQAADwAAAAAAAAABACAAAAAiAAAA&#10;ZHJzL2Rvd25yZXYueG1sUEsBAhQAFAAAAAgAh07iQHf83drRAQAArgMAAA4AAAAAAAAAAQAgAAAA&#10;JAEAAGRycy9lMm9Eb2MueG1sUEsFBgAAAAAGAAYAWQEAAGcFAAAAAA==&#10;">
                      <v:fill on="f" focussize="0,0"/>
                      <v:stroke weight="1pt" color="#000000" joinstyle="round"/>
                      <v:imagedata o:title=""/>
                      <o:lock v:ext="edit" aspectratio="f"/>
                    </v:line>
                  </w:pict>
                </mc:Fallback>
              </mc:AlternateContent>
            </w:r>
          </w:p>
        </w:tc>
      </w:tr>
      <w:tr w14:paraId="288FBDBE">
        <w:tblPrEx>
          <w:tblCellMar>
            <w:top w:w="0" w:type="dxa"/>
            <w:left w:w="108" w:type="dxa"/>
            <w:bottom w:w="0" w:type="dxa"/>
            <w:right w:w="108" w:type="dxa"/>
          </w:tblCellMar>
        </w:tblPrEx>
        <w:tc>
          <w:tcPr>
            <w:tcW w:w="3420" w:type="dxa"/>
          </w:tcPr>
          <w:p w14:paraId="402F3A50">
            <w:pPr>
              <w:keepNext/>
              <w:spacing w:after="120"/>
              <w:jc w:val="center"/>
              <w:outlineLvl w:val="2"/>
              <w:rPr>
                <w:i/>
                <w:color w:val="000000"/>
                <w:sz w:val="26"/>
                <w:szCs w:val="26"/>
                <w:vertAlign w:val="superscript"/>
                <w:lang w:val="vi-VN"/>
              </w:rPr>
            </w:pPr>
            <w:r>
              <w:rPr>
                <w:bCs/>
                <w:color w:val="000000"/>
                <w:sz w:val="26"/>
                <w:szCs w:val="26"/>
              </w:rPr>
              <w:t>Số:             /TTr-UBND</w:t>
            </w:r>
          </w:p>
        </w:tc>
        <w:tc>
          <w:tcPr>
            <w:tcW w:w="6269" w:type="dxa"/>
          </w:tcPr>
          <w:p w14:paraId="6EDCD2CC">
            <w:pPr>
              <w:keepNext/>
              <w:spacing w:after="120"/>
              <w:ind w:right="-108"/>
              <w:jc w:val="center"/>
              <w:outlineLvl w:val="3"/>
              <w:rPr>
                <w:i/>
                <w:iCs/>
                <w:color w:val="000000"/>
                <w:sz w:val="26"/>
                <w:szCs w:val="26"/>
                <w:lang w:val="vi-VN"/>
              </w:rPr>
            </w:pPr>
            <w:r>
              <w:rPr>
                <w:i/>
                <w:iCs/>
                <w:color w:val="000000"/>
                <w:sz w:val="26"/>
                <w:szCs w:val="26"/>
                <w:lang w:val="vi-VN"/>
              </w:rPr>
              <w:t>Hà Tĩnh, ngày      tháng     năm 2026</w:t>
            </w:r>
          </w:p>
        </w:tc>
      </w:tr>
    </w:tbl>
    <w:p w14:paraId="2D6EEF93">
      <w:pPr>
        <w:jc w:val="center"/>
        <w:rPr>
          <w:b/>
          <w:color w:val="000000"/>
          <w:sz w:val="8"/>
          <w:szCs w:val="32"/>
          <w:lang w:val="vi-VN"/>
        </w:rPr>
      </w:pPr>
      <w:r>
        <w:rPr>
          <w:b/>
          <w:color w:val="000000"/>
          <w:sz w:val="8"/>
          <w:szCs w:val="32"/>
        </w:rPr>
        <mc:AlternateContent>
          <mc:Choice Requires="wps">
            <w:drawing>
              <wp:anchor distT="0" distB="0" distL="114300" distR="114300" simplePos="0" relativeHeight="251662336" behindDoc="0" locked="0" layoutInCell="1" allowOverlap="1">
                <wp:simplePos x="0" y="0"/>
                <wp:positionH relativeFrom="column">
                  <wp:posOffset>483870</wp:posOffset>
                </wp:positionH>
                <wp:positionV relativeFrom="paragraph">
                  <wp:posOffset>6350</wp:posOffset>
                </wp:positionV>
                <wp:extent cx="997585" cy="306070"/>
                <wp:effectExtent l="11430" t="6350" r="10160" b="11430"/>
                <wp:wrapNone/>
                <wp:docPr id="2" name="Text Box 20"/>
                <wp:cNvGraphicFramePr/>
                <a:graphic xmlns:a="http://schemas.openxmlformats.org/drawingml/2006/main">
                  <a:graphicData uri="http://schemas.microsoft.com/office/word/2010/wordprocessingShape">
                    <wps:wsp>
                      <wps:cNvSpPr txBox="1">
                        <a:spLocks noChangeArrowheads="1"/>
                      </wps:cNvSpPr>
                      <wps:spPr bwMode="auto">
                        <a:xfrm>
                          <a:off x="0" y="0"/>
                          <a:ext cx="997585" cy="306070"/>
                        </a:xfrm>
                        <a:prstGeom prst="rect">
                          <a:avLst/>
                        </a:prstGeom>
                        <a:noFill/>
                        <a:ln w="9525">
                          <a:solidFill>
                            <a:srgbClr val="000000"/>
                          </a:solidFill>
                          <a:miter lim="800000"/>
                        </a:ln>
                      </wps:spPr>
                      <wps:txbx>
                        <w:txbxContent>
                          <w:p w14:paraId="72831F63">
                            <w:pPr>
                              <w:spacing w:before="40"/>
                              <w:jc w:val="center"/>
                              <w:rPr>
                                <w:b/>
                                <w:bCs/>
                              </w:rPr>
                            </w:pPr>
                            <w:r>
                              <w:rPr>
                                <w:b/>
                                <w:bCs/>
                              </w:rPr>
                              <w:t>DỰ THẢO</w:t>
                            </w:r>
                          </w:p>
                        </w:txbxContent>
                      </wps:txbx>
                      <wps:bodyPr rot="0" vert="horz" wrap="square" lIns="91440" tIns="45720" rIns="91440" bIns="45720" anchor="t" anchorCtr="0" upright="1">
                        <a:noAutofit/>
                      </wps:bodyPr>
                    </wps:wsp>
                  </a:graphicData>
                </a:graphic>
              </wp:anchor>
            </w:drawing>
          </mc:Choice>
          <mc:Fallback>
            <w:pict>
              <v:shape id="Text Box 20" o:spid="_x0000_s1026" o:spt="202" type="#_x0000_t202" style="position:absolute;left:0pt;margin-left:38.1pt;margin-top:0.5pt;height:24.1pt;width:78.55pt;z-index:251662336;mso-width-relative:page;mso-height-relative:page;" filled="f" stroked="t" coordsize="21600,21600" o:gfxdata="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kaSMY9QAAAAHAQAADwAAAAAAAAABACAAAAAiAAAAZHJzL2Rvd25yZXYueG1sUEsBAhQA&#10;FAAAAAgAh07iQCicUxYvAgAAXQQAAA4AAAAAAAAAAQAgAAAAIwEAAGRycy9lMm9Eb2MueG1sUEsF&#10;BgAAAAAGAAYAWQEAAMQFAAAAAA==&#10;">
                <v:fill on="f" focussize="0,0"/>
                <v:stroke color="#000000" miterlimit="8" joinstyle="miter"/>
                <v:imagedata o:title=""/>
                <o:lock v:ext="edit" aspectratio="f"/>
                <v:textbox>
                  <w:txbxContent>
                    <w:p w14:paraId="72831F63">
                      <w:pPr>
                        <w:spacing w:before="40"/>
                        <w:jc w:val="center"/>
                        <w:rPr>
                          <w:b/>
                          <w:bCs/>
                        </w:rPr>
                      </w:pPr>
                      <w:r>
                        <w:rPr>
                          <w:b/>
                          <w:bCs/>
                        </w:rPr>
                        <w:t>DỰ THẢO</w:t>
                      </w:r>
                    </w:p>
                  </w:txbxContent>
                </v:textbox>
              </v:shape>
            </w:pict>
          </mc:Fallback>
        </mc:AlternateContent>
      </w:r>
    </w:p>
    <w:p w14:paraId="13E9B42B">
      <w:pPr>
        <w:jc w:val="center"/>
        <w:rPr>
          <w:b/>
          <w:color w:val="000000"/>
          <w:sz w:val="28"/>
          <w:szCs w:val="28"/>
          <w:lang w:val="vi-VN"/>
        </w:rPr>
      </w:pPr>
    </w:p>
    <w:p w14:paraId="07B1A054">
      <w:pPr>
        <w:jc w:val="center"/>
        <w:rPr>
          <w:b/>
          <w:color w:val="000000"/>
          <w:sz w:val="28"/>
          <w:szCs w:val="28"/>
          <w:lang w:val="vi-VN"/>
        </w:rPr>
      </w:pPr>
      <w:r>
        <w:rPr>
          <w:b/>
          <w:color w:val="000000"/>
          <w:sz w:val="28"/>
          <w:szCs w:val="28"/>
          <w:lang w:val="vi-VN"/>
        </w:rPr>
        <w:t>TỜ TRÌNH</w:t>
      </w:r>
    </w:p>
    <w:p w14:paraId="44606DAA">
      <w:pPr>
        <w:jc w:val="center"/>
        <w:rPr>
          <w:sz w:val="28"/>
          <w:szCs w:val="28"/>
        </w:rPr>
      </w:pPr>
      <w:r>
        <w:rPr>
          <w:b/>
          <w:sz w:val="28"/>
          <w:szCs w:val="28"/>
        </w:rPr>
        <w:t>Dự thảo Nghị quyết quy định chính sách hỗ trợ cán bộ, công chức, viên chức được luân chuyển, điều động, biệt phái đến công tác tại cơ sở, địa bàn, vị trí cần tăng cường nhân lực trên địa bàn tỉnh Hà Tĩnh</w:t>
      </w:r>
    </w:p>
    <w:p w14:paraId="425BE09C">
      <w:pPr>
        <w:jc w:val="center"/>
        <w:rPr>
          <w:b/>
          <w:color w:val="000000"/>
          <w:sz w:val="28"/>
          <w:szCs w:val="28"/>
        </w:rPr>
      </w:pPr>
      <w:r>
        <w:rPr>
          <w:color w:val="000000"/>
          <w:sz w:val="28"/>
          <w:szCs w:val="28"/>
        </w:rPr>
        <mc:AlternateContent>
          <mc:Choice Requires="wps">
            <w:drawing>
              <wp:anchor distT="0" distB="0" distL="114300" distR="114300" simplePos="0" relativeHeight="251661312" behindDoc="0" locked="0" layoutInCell="1" allowOverlap="1">
                <wp:simplePos x="0" y="0"/>
                <wp:positionH relativeFrom="margin">
                  <wp:posOffset>2127250</wp:posOffset>
                </wp:positionH>
                <wp:positionV relativeFrom="paragraph">
                  <wp:posOffset>77470</wp:posOffset>
                </wp:positionV>
                <wp:extent cx="1498600" cy="0"/>
                <wp:effectExtent l="6985" t="10795" r="8890" b="8255"/>
                <wp:wrapNone/>
                <wp:docPr id="1" name="Straight Connector 6"/>
                <wp:cNvGraphicFramePr/>
                <a:graphic xmlns:a="http://schemas.openxmlformats.org/drawingml/2006/main">
                  <a:graphicData uri="http://schemas.microsoft.com/office/word/2010/wordprocessingShape">
                    <wps:wsp>
                      <wps:cNvCnPr>
                        <a:cxnSpLocks noChangeShapeType="1"/>
                      </wps:cNvCnPr>
                      <wps:spPr bwMode="auto">
                        <a:xfrm>
                          <a:off x="0" y="0"/>
                          <a:ext cx="1498600" cy="0"/>
                        </a:xfrm>
                        <a:prstGeom prst="line">
                          <a:avLst/>
                        </a:prstGeom>
                        <a:noFill/>
                        <a:ln w="12700">
                          <a:solidFill>
                            <a:srgbClr val="000000"/>
                          </a:solidFill>
                          <a:round/>
                        </a:ln>
                      </wps:spPr>
                      <wps:bodyPr/>
                    </wps:wsp>
                  </a:graphicData>
                </a:graphic>
              </wp:anchor>
            </w:drawing>
          </mc:Choice>
          <mc:Fallback>
            <w:pict>
              <v:line id="Straight Connector 6" o:spid="_x0000_s1026" o:spt="20" style="position:absolute;left:0pt;margin-left:167.5pt;margin-top:6.1pt;height:0pt;width:118pt;mso-position-horizontal-relative:margin;z-index:251661312;mso-width-relative:page;mso-height-relative:page;" filled="f" stroked="t" coordsize="21600,21600" o:gfxdata="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dM829cAAAAJAQAADwAAAAAAAAABACAAAAAiAAAA&#10;ZHJzL2Rvd25yZXYueG1sUEsBAhQAFAAAAAgAh07iQF1DrNLPAQAArgMAAA4AAAAAAAAAAQAgAAAA&#10;JgEAAGRycy9lMm9Eb2MueG1sUEsFBgAAAAAGAAYAWQEAAGcFAAAAAA==&#10;">
                <v:fill on="f" focussize="0,0"/>
                <v:stroke weight="1pt" color="#000000" joinstyle="round"/>
                <v:imagedata o:title=""/>
                <o:lock v:ext="edit" aspectratio="f"/>
              </v:line>
            </w:pict>
          </mc:Fallback>
        </mc:AlternateContent>
      </w:r>
    </w:p>
    <w:p w14:paraId="59C48FF2">
      <w:pPr>
        <w:spacing w:before="360" w:after="480"/>
        <w:jc w:val="center"/>
        <w:rPr>
          <w:color w:val="000000"/>
          <w:sz w:val="28"/>
          <w:szCs w:val="28"/>
        </w:rPr>
      </w:pPr>
      <w:r>
        <w:rPr>
          <w:color w:val="000000"/>
          <w:sz w:val="28"/>
          <w:szCs w:val="28"/>
          <w:lang w:val="vi-VN"/>
        </w:rPr>
        <w:t>Kính gửi: Hội đồng nhân dân tỉnh</w:t>
      </w:r>
      <w:r>
        <w:rPr>
          <w:color w:val="000000"/>
          <w:sz w:val="28"/>
          <w:szCs w:val="28"/>
        </w:rPr>
        <w:t>.</w:t>
      </w:r>
    </w:p>
    <w:p w14:paraId="64D3177F">
      <w:pPr>
        <w:spacing w:before="120" w:after="120"/>
        <w:ind w:firstLine="709"/>
        <w:jc w:val="both"/>
        <w:rPr>
          <w:sz w:val="28"/>
          <w:szCs w:val="28"/>
        </w:rPr>
      </w:pPr>
      <w:bookmarkStart w:id="0" w:name="_Hlk193354070"/>
      <w:r>
        <w:rPr>
          <w:sz w:val="28"/>
          <w:szCs w:val="28"/>
        </w:rPr>
        <w:t>Căn cứ Luật Tổ chức chính quyền địa phương số 72/2025/QH15; Luật Ban hành văn bản quy phạm pháp luật số 64/2025/QH15, được sửa đổi, bổ sung bởi Luật số 87/2025/QH15 và các văn bản quy định chi tiết, hướng dẫn thi hành; căn cứ Luật Cán bộ, công chức số 80/2025/QH15; Luật Viên chức số 129/2025/QH15; các quy định pháp luật hiện hành về tuyển dụng, sử dụng, quản lý cán bộ, công chức, viên chức và ngân sách nhà nước;</w:t>
      </w:r>
    </w:p>
    <w:p w14:paraId="11394226">
      <w:pPr>
        <w:spacing w:before="120" w:after="120"/>
        <w:ind w:firstLine="709"/>
        <w:jc w:val="both"/>
        <w:rPr>
          <w:spacing w:val="-2"/>
          <w:sz w:val="28"/>
          <w:szCs w:val="28"/>
        </w:rPr>
      </w:pPr>
      <w:r>
        <w:rPr>
          <w:spacing w:val="-2"/>
          <w:sz w:val="28"/>
          <w:szCs w:val="28"/>
        </w:rPr>
        <w:t>Xét báo cáo, đề nghị của Giám đốc Sở Nội vụ tại Văn bản số</w:t>
      </w:r>
      <w:r>
        <w:rPr>
          <w:spacing w:val="-2"/>
          <w:sz w:val="28"/>
          <w:szCs w:val="28"/>
          <w:lang w:val="vi-VN"/>
        </w:rPr>
        <w:t xml:space="preserve"> </w:t>
      </w:r>
      <w:r>
        <w:rPr>
          <w:spacing w:val="-2"/>
          <w:sz w:val="28"/>
          <w:szCs w:val="28"/>
        </w:rPr>
        <w:t>/SNV-CCVC, ngày</w:t>
      </w:r>
      <w:r>
        <w:rPr>
          <w:spacing w:val="-2"/>
          <w:sz w:val="28"/>
          <w:szCs w:val="28"/>
          <w:lang w:val="vi-VN"/>
        </w:rPr>
        <w:t xml:space="preserve"> </w:t>
      </w:r>
      <w:r>
        <w:rPr>
          <w:spacing w:val="-2"/>
          <w:sz w:val="28"/>
          <w:szCs w:val="28"/>
        </w:rPr>
        <w:t xml:space="preserve">  /   /2026 về việc trình </w:t>
      </w:r>
      <w:r>
        <w:rPr>
          <w:spacing w:val="-2"/>
          <w:sz w:val="28"/>
          <w:szCs w:val="28"/>
          <w:lang w:val="vi-VN"/>
        </w:rPr>
        <w:t>Nghị quyết của Hội đồng nhân dân tỉnh quy định</w:t>
      </w:r>
      <w:r>
        <w:rPr>
          <w:spacing w:val="-2"/>
          <w:sz w:val="28"/>
          <w:szCs w:val="28"/>
        </w:rPr>
        <w:t xml:space="preserve"> chính sách hỗ trợ cán bộ, công chức, viên chức được luân chuyển, điều động, biệt phái đến công tác tại cơ sở, địa bàn, vị trí cần tăng cường nhân lực trên địa bàn tỉnh Hà Tĩnh</w:t>
      </w:r>
      <w:r>
        <w:rPr>
          <w:spacing w:val="-2"/>
          <w:sz w:val="28"/>
          <w:szCs w:val="28"/>
          <w:shd w:val="clear" w:color="auto" w:fill="FFFFFF"/>
        </w:rPr>
        <w:t xml:space="preserve">; thực hiện </w:t>
      </w:r>
      <w:r>
        <w:rPr>
          <w:bCs/>
          <w:iCs/>
          <w:spacing w:val="-2"/>
          <w:sz w:val="28"/>
          <w:szCs w:val="28"/>
        </w:rPr>
        <w:t xml:space="preserve">Văn bản số....-TTr/ĐU ngày ..../..../2026 của Ban Thường vụ Đảng ủy Ủy ban nhân dân tỉnh; Kết luận số......ngày..../12/2026 của Ban Thường vụ Tỉnh ủy tại hội nghị ngày...../.../2026, </w:t>
      </w:r>
      <w:r>
        <w:rPr>
          <w:bCs/>
          <w:iCs/>
          <w:spacing w:val="-2"/>
          <w:sz w:val="28"/>
          <w:szCs w:val="28"/>
          <w:lang w:val="vi-VN"/>
        </w:rPr>
        <w:t xml:space="preserve">Ủy ban nhân dân tỉnh kính trình Hội đồng nhân dân tỉnh </w:t>
      </w:r>
      <w:r>
        <w:rPr>
          <w:bCs/>
          <w:iCs/>
          <w:spacing w:val="-2"/>
          <w:sz w:val="28"/>
          <w:szCs w:val="28"/>
        </w:rPr>
        <w:t xml:space="preserve">dự thảo </w:t>
      </w:r>
      <w:r>
        <w:rPr>
          <w:spacing w:val="-2"/>
          <w:sz w:val="28"/>
          <w:szCs w:val="28"/>
          <w:lang w:val="vi-VN"/>
        </w:rPr>
        <w:t xml:space="preserve">Nghị quyết của Hội đồng nhân dân tỉnh </w:t>
      </w:r>
      <w:r>
        <w:rPr>
          <w:spacing w:val="-2"/>
          <w:sz w:val="28"/>
          <w:szCs w:val="28"/>
        </w:rPr>
        <w:t xml:space="preserve">quy định chính sách hỗ trợ cán bộ, công chức, viên chức được luân chuyển, điều động, biệt phái đến công tác tại cơ sở, địa bàn, vị trí cần tăng cường nhân lực trên địa bàn tỉnh Hà Tĩnh, </w:t>
      </w:r>
      <w:r>
        <w:rPr>
          <w:bCs/>
          <w:iCs/>
          <w:spacing w:val="-2"/>
          <w:sz w:val="28"/>
          <w:szCs w:val="28"/>
          <w:lang w:val="vi-VN"/>
        </w:rPr>
        <w:t>như sau:</w:t>
      </w:r>
    </w:p>
    <w:p w14:paraId="5CAB6B91">
      <w:pPr>
        <w:spacing w:before="120" w:after="120"/>
        <w:ind w:firstLine="709"/>
        <w:jc w:val="both"/>
        <w:rPr>
          <w:b/>
          <w:iCs/>
          <w:sz w:val="28"/>
          <w:szCs w:val="28"/>
          <w:lang w:val="vi-VN"/>
        </w:rPr>
      </w:pPr>
      <w:r>
        <w:rPr>
          <w:b/>
          <w:iCs/>
          <w:sz w:val="28"/>
          <w:szCs w:val="28"/>
          <w:lang w:val="vi-VN"/>
        </w:rPr>
        <w:t xml:space="preserve">I. </w:t>
      </w:r>
      <w:r>
        <w:rPr>
          <w:b/>
          <w:iCs/>
          <w:sz w:val="28"/>
          <w:szCs w:val="28"/>
        </w:rPr>
        <w:t>SỰ CẦN THIẾT</w:t>
      </w:r>
      <w:r>
        <w:rPr>
          <w:b/>
          <w:iCs/>
          <w:sz w:val="28"/>
          <w:szCs w:val="28"/>
          <w:lang w:val="vi-VN"/>
        </w:rPr>
        <w:t xml:space="preserve"> BAN HÀNH NGHỊ QUYẾT</w:t>
      </w:r>
    </w:p>
    <w:p w14:paraId="374A899F">
      <w:pPr>
        <w:keepNext/>
        <w:spacing w:before="120" w:after="120"/>
        <w:ind w:firstLine="709"/>
        <w:jc w:val="both"/>
        <w:rPr>
          <w:sz w:val="28"/>
          <w:szCs w:val="28"/>
        </w:rPr>
      </w:pPr>
      <w:r>
        <w:rPr>
          <w:b/>
          <w:sz w:val="28"/>
          <w:szCs w:val="28"/>
        </w:rPr>
        <w:t>1. Cơ sở chính trị, pháp lý</w:t>
      </w:r>
    </w:p>
    <w:p w14:paraId="418E5A79">
      <w:pPr>
        <w:pStyle w:val="35"/>
        <w:spacing w:before="120" w:beforeAutospacing="0" w:after="120" w:afterAutospacing="0"/>
        <w:ind w:firstLine="709"/>
        <w:jc w:val="both"/>
        <w:rPr>
          <w:sz w:val="28"/>
          <w:szCs w:val="28"/>
          <w:lang w:val="vi-VN"/>
        </w:rPr>
      </w:pPr>
      <w:r>
        <w:rPr>
          <w:sz w:val="28"/>
          <w:szCs w:val="28"/>
          <w:lang w:val="vi-VN"/>
        </w:rPr>
        <w:t xml:space="preserve">- Tại điểm c Điều 21 Luật Ban hành văn bản quy phạm pháp luật số 64/2025/QH15, được sửa đổi, bổ sung bởi Luật số 87/2025/QH15, Hội đồng nhân dân cấp tỉnh ban hành nghị quyết để quy định: </w:t>
      </w:r>
      <w:r>
        <w:rPr>
          <w:i/>
          <w:sz w:val="28"/>
          <w:szCs w:val="28"/>
          <w:lang w:val="vi-VN"/>
        </w:rPr>
        <w:t xml:space="preserve">“Chính sách, biện pháp nhằm phát triển kinh tế - xã hội, ngân sách, quốc phòng, an ninh ở địa phương; biện pháp khác có tính chất đặc thù phù hợp với điều kiện phát triển kinh tế - xã hội của địa phương; phân cấp và thực hiện nhiệm vụ, quyền hạn được phân cấp”; </w:t>
      </w:r>
    </w:p>
    <w:p w14:paraId="0D31B943">
      <w:pPr>
        <w:spacing w:before="120" w:after="120"/>
        <w:ind w:firstLine="709"/>
        <w:jc w:val="both"/>
        <w:rPr>
          <w:sz w:val="28"/>
          <w:szCs w:val="28"/>
        </w:rPr>
      </w:pPr>
      <w:r>
        <w:rPr>
          <w:sz w:val="28"/>
          <w:szCs w:val="28"/>
        </w:rPr>
        <w:t xml:space="preserve">- Khoản 1 Điều 21 Luật Ban hành văn bản quy phạm pháp luật số 64/2025/QH15, được sửa đổi, bổ sung bởi Luật số 87/2025/QH15, Hội đồng nhân dân tỉnh có thẩm quyền ban hành nghị quyết quy định chính sách, biện pháp thuộc phạm vi nhiệm vụ, quyền hạn của địa phương và các biện pháp có tính chất đặc thù phù hợp với điều kiện phát triển kinh tế - xã hội của tỉnh. </w:t>
      </w:r>
    </w:p>
    <w:p w14:paraId="479D08FF">
      <w:pPr>
        <w:pStyle w:val="36"/>
        <w:spacing w:before="120" w:beforeAutospacing="0" w:after="120" w:afterAutospacing="0"/>
        <w:ind w:firstLine="709"/>
        <w:jc w:val="both"/>
        <w:rPr>
          <w:i/>
          <w:sz w:val="28"/>
          <w:szCs w:val="28"/>
          <w:lang w:val="vi-VN"/>
        </w:rPr>
      </w:pPr>
      <w:r>
        <w:rPr>
          <w:b/>
          <w:sz w:val="28"/>
          <w:szCs w:val="28"/>
          <w:lang w:val="vi-VN"/>
        </w:rPr>
        <w:t xml:space="preserve">- </w:t>
      </w:r>
      <w:r>
        <w:rPr>
          <w:sz w:val="28"/>
          <w:szCs w:val="28"/>
          <w:lang w:val="vi-VN"/>
        </w:rPr>
        <w:t xml:space="preserve">Điểm </w:t>
      </w:r>
      <w:r>
        <w:rPr>
          <w:rStyle w:val="19"/>
          <w:b w:val="0"/>
          <w:sz w:val="28"/>
          <w:szCs w:val="28"/>
          <w:lang w:val="vi-VN"/>
        </w:rPr>
        <w:t>l khoản 9 Điều 31</w:t>
      </w:r>
      <w:r>
        <w:rPr>
          <w:rStyle w:val="19"/>
          <w:sz w:val="28"/>
          <w:szCs w:val="28"/>
          <w:lang w:val="vi-VN"/>
        </w:rPr>
        <w:t xml:space="preserve"> </w:t>
      </w:r>
      <w:r>
        <w:rPr>
          <w:sz w:val="28"/>
          <w:szCs w:val="28"/>
          <w:lang w:val="vi-VN"/>
        </w:rPr>
        <w:t xml:space="preserve">Luật Ngân sách nhà nước số 89/2025/QH15 quy định HĐND cấp tỉnh có nhiệm vụ, quyền hạn: </w:t>
      </w:r>
      <w:r>
        <w:rPr>
          <w:i/>
          <w:sz w:val="28"/>
          <w:szCs w:val="28"/>
          <w:lang w:val="vi-VN"/>
        </w:rPr>
        <w:t>“Quyết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p>
    <w:p w14:paraId="6E6EE751">
      <w:pPr>
        <w:spacing w:before="120" w:after="120"/>
        <w:ind w:firstLine="709"/>
        <w:jc w:val="both"/>
        <w:rPr>
          <w:sz w:val="28"/>
          <w:szCs w:val="28"/>
        </w:rPr>
      </w:pPr>
      <w:r>
        <w:rPr>
          <w:sz w:val="28"/>
          <w:szCs w:val="28"/>
        </w:rPr>
        <w:t>- Luật Cán bộ, công chức số 80/2025/QH15, Luật Viên chức số 129/2025/QH15 và các văn bản quy định chi tiết, hướng dẫn thi hành đã quy định về quản lý, sử dụng, bố trí, luân chuyển, điều động, biệt phái cán bộ, công chức, viên chức theo yêu cầu nhiệm vụ, vị trí việc làm và thẩm quyền quản lý.</w:t>
      </w:r>
    </w:p>
    <w:p w14:paraId="2FACEF9C">
      <w:pPr>
        <w:spacing w:before="120" w:after="120"/>
        <w:ind w:firstLine="709"/>
        <w:jc w:val="both"/>
        <w:rPr>
          <w:sz w:val="28"/>
          <w:szCs w:val="28"/>
        </w:rPr>
      </w:pPr>
      <w:r>
        <w:rPr>
          <w:sz w:val="28"/>
          <w:szCs w:val="28"/>
        </w:rPr>
        <w:t xml:space="preserve">- Nghị quyết số 02-NQ/TU ngày 16/4/2026 của Ban Chấp hành Đảng bộ tỉnh khóa XX về nâng cao chất lượng cán bộ cơ sở tỉnh Hà Tĩnh giai đoạn 2026 - 2030 đã xác định yêu cầu nâng cao chất lượng đội ngũ cán bộ cơ sở, đáp ứng nhiệm vụ trong giai đoạn mới. Tại Kế hoạch số 106-KH/TU ngày 17/8/2026 của Ban Thường vụ Tỉnh ủy </w:t>
      </w:r>
      <w:r>
        <w:rPr>
          <w:rStyle w:val="30"/>
          <w:rFonts w:ascii="Times New Roman" w:hAnsi="Times New Roman"/>
        </w:rPr>
        <w:t>thực hiện Nghị quyết số 02-NQ/TU ngày 16/4/2026</w:t>
      </w:r>
      <w:r>
        <w:rPr>
          <w:b/>
          <w:bCs/>
          <w:sz w:val="28"/>
          <w:szCs w:val="28"/>
        </w:rPr>
        <w:t xml:space="preserve"> </w:t>
      </w:r>
      <w:r>
        <w:rPr>
          <w:rStyle w:val="30"/>
          <w:rFonts w:ascii="Times New Roman" w:hAnsi="Times New Roman"/>
        </w:rPr>
        <w:t xml:space="preserve">của Ban Chấp hành Đảng bộ tỉnh khóa XX, giao Đảng ủy Ủy ban nhân dân tỉnh: </w:t>
      </w:r>
      <w:r>
        <w:rPr>
          <w:sz w:val="28"/>
          <w:szCs w:val="28"/>
        </w:rPr>
        <w:t>Tham mưu cơ chế, chính sách luân chuyển, điều động, biệt phái cán bộ, công chức, viên chức; chính sách hỗ trợ, khuyến khích đối với cán bộ luân chuyển, công tác tại địa bàn khó khăn, vùng sâu, vùng xa</w:t>
      </w:r>
      <w:r>
        <w:rPr>
          <w:rStyle w:val="13"/>
          <w:sz w:val="28"/>
          <w:szCs w:val="28"/>
        </w:rPr>
        <w:footnoteReference w:id="0"/>
      </w:r>
      <w:r>
        <w:rPr>
          <w:sz w:val="28"/>
          <w:szCs w:val="28"/>
        </w:rPr>
        <w:t>.</w:t>
      </w:r>
    </w:p>
    <w:p w14:paraId="1870FDC7">
      <w:pPr>
        <w:spacing w:before="120" w:after="120"/>
        <w:ind w:firstLine="709"/>
        <w:jc w:val="both"/>
        <w:rPr>
          <w:b/>
          <w:sz w:val="28"/>
          <w:szCs w:val="28"/>
        </w:rPr>
      </w:pPr>
      <w:r>
        <w:rPr>
          <w:b/>
          <w:sz w:val="28"/>
          <w:szCs w:val="28"/>
        </w:rPr>
        <w:t>2. Cơ sở thực tiễn</w:t>
      </w:r>
    </w:p>
    <w:p w14:paraId="41C4876C">
      <w:pPr>
        <w:spacing w:before="120" w:after="120"/>
        <w:ind w:firstLine="709"/>
        <w:jc w:val="both"/>
        <w:rPr>
          <w:sz w:val="28"/>
          <w:szCs w:val="28"/>
        </w:rPr>
      </w:pPr>
      <w:r>
        <w:rPr>
          <w:bCs/>
          <w:sz w:val="28"/>
          <w:szCs w:val="28"/>
        </w:rPr>
        <w:t>a) Thực trạng chế độ, chính sách hiện hành</w:t>
      </w:r>
    </w:p>
    <w:p w14:paraId="2B8C02B1">
      <w:pPr>
        <w:spacing w:before="120" w:after="120"/>
        <w:ind w:firstLine="709"/>
        <w:jc w:val="both"/>
        <w:rPr>
          <w:sz w:val="28"/>
          <w:szCs w:val="28"/>
        </w:rPr>
      </w:pPr>
      <w:r>
        <w:rPr>
          <w:sz w:val="28"/>
          <w:szCs w:val="28"/>
        </w:rPr>
        <w:t>Hiện nay, Nhà nước đã ban hành một số chế độ, chính sách đối với cán bộ, công chức, viên chức công tác tại địa bàn có điều kiện kinh tế - xã hội đặc biệt khó khăn hoặc chịu tác động của việc sắp xếp tổ chức bộ máy. Trong đó, Nghị định số 76/2019/NĐ-CP ngày 08/10/2019 của Chính phủ quy định các chế độ phụ cấp, trợ cấp đối với người công tác ở vùng có điều kiện kinh tế - xã hội đặc biệt khó khăn; Nghị định số 178/2024/NĐ-CP ngày 31/12/2024 của Chính phủ, được sửa đổi, bổ sung tại Nghị định số 67/2025/NĐ-CP ngày 15/3/2025, quy định các chính sách đối với cán bộ, công chức, viên chức chịu tác động của việc sắp xếp tổ chức bộ máy, trong đó có chính sách tăng cường đi công tác ở cơ sở. Tuy nhiên, chính sách tăng cường cơ sở theo Nghị định số 178/2024/NĐ-CP chưa được triển khai thực hiện tại tỉnh Hà Tĩnh; các chính sách hiện hành có phạm vi, đối tượng và điều kiện áp dụng riêng, chưa bao quát đầy đủ các trường hợp luân chuyển, điều động, biệt phái theo yêu cầu nhiệm vụ trong điều kiện vận hành mô hình chính quyền địa phương 02 cấp hiện nay.</w:t>
      </w:r>
    </w:p>
    <w:p w14:paraId="35500C94">
      <w:pPr>
        <w:spacing w:before="120" w:after="120"/>
        <w:ind w:firstLine="709"/>
        <w:jc w:val="both"/>
        <w:rPr>
          <w:sz w:val="28"/>
          <w:szCs w:val="28"/>
        </w:rPr>
      </w:pPr>
      <w:r>
        <w:rPr>
          <w:sz w:val="28"/>
          <w:szCs w:val="28"/>
        </w:rPr>
        <w:t>Bên cạnh đó, chế độ công tác phí và một số chế độ, chính sách khác được thực hiện theo quy định của cơ quan có thẩm quyền, tương ứng với tính chất nhiệm vụ, đối tượng và điều kiện áp dụng đối với cán bộ, công chức, viên chức được luân chuyển, điều động, biệt phái.</w:t>
      </w:r>
    </w:p>
    <w:p w14:paraId="5AFF6028">
      <w:pPr>
        <w:spacing w:before="120" w:after="120"/>
        <w:ind w:firstLine="709"/>
        <w:jc w:val="both"/>
        <w:rPr>
          <w:sz w:val="28"/>
          <w:szCs w:val="28"/>
        </w:rPr>
      </w:pPr>
      <w:r>
        <w:rPr>
          <w:sz w:val="28"/>
          <w:szCs w:val="28"/>
        </w:rPr>
        <w:t>Tuy nhiên, các chính sách hiện hành có phạm vi, đối tượng và điều kiện hưởng riêng; chưa bao quát đầy đủ những trường hợp cán bộ, công chức, viên chức được luân chuyển, điều động, biệt phái theo yêu cầu nhiệm vụ đến địa bàn, cơ quan, đơn vị cần tăng cường nhân lực nhưng không thuộc địa bàn được hưởng chính sách đặc thù. Đặc biệt, việc thay đổi nơi công tác có thể làm tăng đáng kể khoảng cách đi lại từ nơi cư trú đến trụ sở làm việc mới, phát sinh chi phí di chuyển thường xuyên, thuê nhà ở và ổn định sinh hoạt, trong khi người được bố trí công tác vẫn phải bảo đảm hoàn thành nhiệm vụ tại cơ quan, đơn vị tiếp nhận.</w:t>
      </w:r>
    </w:p>
    <w:p w14:paraId="1218C8EF">
      <w:pPr>
        <w:spacing w:before="120" w:after="120"/>
        <w:ind w:firstLine="709"/>
        <w:jc w:val="both"/>
        <w:rPr>
          <w:sz w:val="28"/>
          <w:szCs w:val="28"/>
        </w:rPr>
      </w:pPr>
      <w:r>
        <w:rPr>
          <w:sz w:val="28"/>
          <w:szCs w:val="28"/>
        </w:rPr>
        <w:t>Vì vậy, cần nghiên cứu ban hành chính sách hỗ trợ của tỉnh trên cơ sở xác định rõ đối tượng, điều kiện, nội dung và mức hỗ trợ; bảo đảm phù hợp với thực tiễn, không trùng lặp với các chế độ, chính sách hiện hành và khả năng cân đối ngân sách địa phương.</w:t>
      </w:r>
    </w:p>
    <w:p w14:paraId="5BE1299A">
      <w:pPr>
        <w:spacing w:before="120" w:after="120"/>
        <w:ind w:firstLine="709"/>
        <w:jc w:val="both"/>
        <w:rPr>
          <w:sz w:val="28"/>
          <w:szCs w:val="28"/>
        </w:rPr>
      </w:pPr>
      <w:r>
        <w:rPr>
          <w:bCs/>
          <w:sz w:val="28"/>
          <w:szCs w:val="28"/>
        </w:rPr>
        <w:t>b) Yêu cầu bố trí, sử dụng và tăng cường nhân lực khi thực hiện mô hình chính quyền địa phương 02 cấp</w:t>
      </w:r>
    </w:p>
    <w:p w14:paraId="6805DC4C">
      <w:pPr>
        <w:spacing w:before="120" w:after="120"/>
        <w:ind w:firstLine="709"/>
        <w:jc w:val="both"/>
        <w:rPr>
          <w:sz w:val="28"/>
          <w:szCs w:val="28"/>
        </w:rPr>
      </w:pPr>
      <w:r>
        <w:rPr>
          <w:sz w:val="28"/>
          <w:szCs w:val="28"/>
        </w:rPr>
        <w:t>Từ ngày 01/7/2025, việc tổ chức và vận hành mô hình chính quyền địa phương 02 cấp đã đặt ra yêu cầu mới đối với công tác quản lý, sử dụng đội ngũ cán bộ, công chức, viên chức. Chính quyền cấp xã được giao thực hiện nhiều nhiệm vụ, thẩm quyền mới; phạm vi quản lý rộng hơn, khối lượng và tính chất công việc ngày càng đa dạng, phức tạp, đòi hỏi đội ngũ công chức phải có trình độ chuyên môn, năng lực thực tiễn và khả năng thích ứng phù hợp.</w:t>
      </w:r>
    </w:p>
    <w:p w14:paraId="43E14A44">
      <w:pPr>
        <w:spacing w:before="120" w:after="120"/>
        <w:ind w:firstLine="709"/>
        <w:jc w:val="both"/>
        <w:rPr>
          <w:sz w:val="28"/>
          <w:szCs w:val="28"/>
        </w:rPr>
      </w:pPr>
      <w:r>
        <w:rPr>
          <w:sz w:val="28"/>
          <w:szCs w:val="28"/>
        </w:rPr>
        <w:t>Việc phân bố đội ngũ cán bộ, công chức, viên chức giữa các cơ quan, đơn vị, địa phương chưa thực sự đồng đều; một số địa phương còn thiếu công chức có chuyên môn phù hợp với yêu cầu vị trí việc làm, nhất là trong các lĩnh vực xây dựng, quy hoạch, tài chính, kế toán, công nghệ thông tin và một số lĩnh vực chuyên môn khác. Trong khi đó, một số cơ quan, địa phương có số lượng công chức dôi dư hoặc có khả năng bố trí, sắp xếp lại để tăng cường cho những nơi còn thiếu.</w:t>
      </w:r>
    </w:p>
    <w:p w14:paraId="34EAF9CE">
      <w:pPr>
        <w:spacing w:before="120" w:after="120"/>
        <w:ind w:firstLine="709"/>
        <w:jc w:val="both"/>
        <w:rPr>
          <w:sz w:val="28"/>
          <w:szCs w:val="28"/>
        </w:rPr>
      </w:pPr>
      <w:r>
        <w:rPr>
          <w:sz w:val="28"/>
          <w:szCs w:val="28"/>
        </w:rPr>
        <w:t>Thực trạng trên đặt ra yêu cầu phải tiếp tục rà soát, bố trí và sử dụng hợp lý đội ngũ cán bộ, công chức, viên chức giữa các cơ quan, đơn vị, địa phương; ưu tiên sắp xếp nội bộ, đồng thời thực hiện luân chuyển, điều động, biệt phái từ nơi có khả năng bố trí nhân lực đến nơi còn thiếu hoặc có yêu cầu tăng cường nhân lực, bảo đảm phù hợp với vị trí việc làm, trình độ chuyên môn, năng lực, sở trường, kinh nghiệm công tác và không làm tăng tổng biên chế được giao.</w:t>
      </w:r>
    </w:p>
    <w:p w14:paraId="357E2B47">
      <w:pPr>
        <w:spacing w:before="120" w:after="120"/>
        <w:ind w:firstLine="709"/>
        <w:jc w:val="both"/>
        <w:rPr>
          <w:sz w:val="28"/>
          <w:szCs w:val="28"/>
        </w:rPr>
      </w:pPr>
      <w:r>
        <w:rPr>
          <w:bCs/>
          <w:sz w:val="28"/>
          <w:szCs w:val="28"/>
        </w:rPr>
        <w:t>c) Những khó khăn phát sinh khi thực hiện luân chuyển, điều động, biệt phái</w:t>
      </w:r>
    </w:p>
    <w:p w14:paraId="444F1BA8">
      <w:pPr>
        <w:spacing w:before="120" w:after="120"/>
        <w:ind w:firstLine="709"/>
        <w:jc w:val="both"/>
        <w:rPr>
          <w:sz w:val="28"/>
          <w:szCs w:val="28"/>
        </w:rPr>
      </w:pPr>
      <w:r>
        <w:rPr>
          <w:sz w:val="28"/>
          <w:szCs w:val="28"/>
        </w:rPr>
        <w:t>Việc luân chuyển, điều động, biệt phái cán bộ, công chức, viên chức là giải pháp cần thiết để đáp ứng yêu cầu thực hiện nhiệm vụ, nhất là trong giai đoạn tiếp tục hoàn thiện tổ chức bộ máy và nâng cao hiệu quả hoạt động của chính quyền địa phương 02 cấp. Tuy nhiên, quá trình triển khai có thể phát sinh một số khó khăn:</w:t>
      </w:r>
    </w:p>
    <w:p w14:paraId="29E4E635">
      <w:pPr>
        <w:spacing w:before="120" w:after="120"/>
        <w:ind w:firstLine="709"/>
        <w:jc w:val="both"/>
        <w:rPr>
          <w:sz w:val="28"/>
          <w:szCs w:val="28"/>
        </w:rPr>
      </w:pPr>
      <w:r>
        <w:rPr>
          <w:sz w:val="28"/>
          <w:szCs w:val="28"/>
        </w:rPr>
        <w:t>- Việc thay đổi nơi công tác làm tăng khoảng cách di chuyển giữa nơi cư trú và trụ sở làm việc mới, phát sinh thêm chi phí đi lại, thời gian di chuyển và ảnh hưởng đến việc tổ chức sinh hoạt của cá nhân, gia đình.</w:t>
      </w:r>
    </w:p>
    <w:p w14:paraId="4D60417D">
      <w:pPr>
        <w:spacing w:before="120" w:after="120"/>
        <w:ind w:firstLine="709"/>
        <w:jc w:val="both"/>
        <w:rPr>
          <w:sz w:val="28"/>
          <w:szCs w:val="28"/>
        </w:rPr>
      </w:pPr>
      <w:r>
        <w:rPr>
          <w:sz w:val="28"/>
          <w:szCs w:val="28"/>
        </w:rPr>
        <w:t>- Đối với trường hợp được bố trí đến công tác tại địa bàn xa nơi cư trú, điều kiện đi lại không thuận lợi, có thể phát sinh nhu cầu thuê nhà ở, bố trí nơi sinh hoạt mới và các khoản chi phí ban đầu để ổn định cuộc sống.</w:t>
      </w:r>
    </w:p>
    <w:p w14:paraId="00BD4822">
      <w:pPr>
        <w:spacing w:before="120" w:after="120"/>
        <w:ind w:firstLine="709"/>
        <w:jc w:val="both"/>
        <w:rPr>
          <w:sz w:val="28"/>
          <w:szCs w:val="28"/>
        </w:rPr>
      </w:pPr>
      <w:r>
        <w:rPr>
          <w:sz w:val="28"/>
          <w:szCs w:val="28"/>
        </w:rPr>
        <w:t>- Một số trường hợp được luân chuyển, điều động, biệt phái theo yêu cầu nhiệm vụ đến địa bàn, vị trí cần tăng cường nhân lực nhưng không thuộc diện hưởng các chế độ, chính sách đặc thù theo quy định hiện hành; do đó, chưa có cơ chế hỗ trợ phù hợp để chia sẻ những khó khăn phát sinh.</w:t>
      </w:r>
    </w:p>
    <w:p w14:paraId="7884ED28">
      <w:pPr>
        <w:spacing w:before="120" w:after="120"/>
        <w:ind w:firstLine="709"/>
        <w:jc w:val="both"/>
        <w:rPr>
          <w:sz w:val="28"/>
          <w:szCs w:val="28"/>
        </w:rPr>
      </w:pPr>
      <w:r>
        <w:rPr>
          <w:sz w:val="28"/>
          <w:szCs w:val="28"/>
        </w:rPr>
        <w:t>- Việc luân chuyển, điều động, biệt phái cán bộ, công chức, viên chức đến công tác xa nơi cư trú còn liên quan đến hoàn cảnh gia đình, điều kiện chăm sóc con nhỏ, người thân và các yếu tố sinh hoạt khác, có thể ảnh hưởng đến tâm tư, nguyện vọng và khả năng ổn định công tác lâu dài.</w:t>
      </w:r>
    </w:p>
    <w:p w14:paraId="1E8B0933">
      <w:pPr>
        <w:spacing w:before="120" w:after="120"/>
        <w:ind w:firstLine="709"/>
        <w:jc w:val="both"/>
        <w:rPr>
          <w:sz w:val="28"/>
          <w:szCs w:val="28"/>
        </w:rPr>
      </w:pPr>
      <w:r>
        <w:rPr>
          <w:sz w:val="28"/>
          <w:szCs w:val="28"/>
        </w:rPr>
        <w:t>Những khó khăn nêu trên, nếu không được quan tâm tháo gỡ bằng cơ chế hỗ trợ phù hợp, có thể ảnh hưởng đến việc, tăng cường nhân lực, nhất là đối với các vị trí việc làm đòi hỏi chuyên môn sâu và những địa bàn còn khó khăn trong việc thu hút, bố trí nhân sự.</w:t>
      </w:r>
    </w:p>
    <w:p w14:paraId="56ECBDAC">
      <w:pPr>
        <w:spacing w:before="120" w:after="120"/>
        <w:ind w:firstLine="709"/>
        <w:jc w:val="both"/>
        <w:rPr>
          <w:sz w:val="28"/>
          <w:szCs w:val="28"/>
        </w:rPr>
      </w:pPr>
      <w:r>
        <w:rPr>
          <w:sz w:val="28"/>
          <w:szCs w:val="28"/>
        </w:rPr>
        <w:t>Từ cơ sở pháp lý, chủ trương, định hướng của tỉnh và yêu cầu thực tiễn nêu trên cho thấy, việc Hội đồng nhân dân tỉnh ban hành Nghị quyết quy định chính sách hỗ trợ cán bộ, công chức, viên chức được luân chuyển, điều động, biệt phái đến công tác tại cơ sở, địa bàn, vị trí cần tăng cường nhân lực trên địa bàn tỉnh Hà Tĩnh là cần thiết, phù hợp với chủ trương, định hướng của tỉnh, cơ sở pháp lý và yêu cầu thực tiễn trong giai đoạn hiện nay.</w:t>
      </w:r>
    </w:p>
    <w:p w14:paraId="533548A6">
      <w:pPr>
        <w:keepNext/>
        <w:spacing w:before="120" w:after="120"/>
        <w:ind w:firstLine="709"/>
        <w:jc w:val="both"/>
        <w:rPr>
          <w:sz w:val="28"/>
          <w:szCs w:val="28"/>
        </w:rPr>
      </w:pPr>
      <w:r>
        <w:rPr>
          <w:b/>
          <w:sz w:val="28"/>
          <w:szCs w:val="28"/>
        </w:rPr>
        <w:t>II. MỤC ĐÍCH BAN HÀNH, QUAN ĐIỂM XÂY DỰNG DỰ ÁN, DỰ THẢO VĂN BẢN</w:t>
      </w:r>
    </w:p>
    <w:p w14:paraId="3E30E7FD">
      <w:pPr>
        <w:keepNext/>
        <w:spacing w:before="120" w:after="120"/>
        <w:ind w:firstLine="709"/>
        <w:jc w:val="both"/>
        <w:rPr>
          <w:sz w:val="28"/>
          <w:szCs w:val="28"/>
        </w:rPr>
      </w:pPr>
      <w:r>
        <w:rPr>
          <w:b/>
          <w:sz w:val="28"/>
          <w:szCs w:val="28"/>
        </w:rPr>
        <w:t>1. Mục đích ban hành văn bản</w:t>
      </w:r>
    </w:p>
    <w:p w14:paraId="7540AD06">
      <w:pPr>
        <w:spacing w:before="120" w:after="120"/>
        <w:ind w:firstLine="709"/>
        <w:jc w:val="both"/>
        <w:rPr>
          <w:sz w:val="28"/>
          <w:szCs w:val="28"/>
        </w:rPr>
      </w:pPr>
      <w:r>
        <w:rPr>
          <w:sz w:val="28"/>
          <w:szCs w:val="28"/>
        </w:rPr>
        <w:t>Xây dựng chính sách hỗ trợ thống nhất, phù hợp với điều kiện thực tế của tỉnh đối với cán bộ, công chức, viên chức được luân chuyển, điều động, biệt phái đến công tác tại cơ sở, địa bàn, vị trí cần tăng cường nhân lực; góp phần giảm bớt khó khăn phát sinh, tạo động lực để đội ngũ yên tâm nhận nhiệm vụ, nâng cao trách nhiệm và hiệu quả công tác.</w:t>
      </w:r>
    </w:p>
    <w:p w14:paraId="4D3AB065">
      <w:pPr>
        <w:pStyle w:val="18"/>
        <w:spacing w:before="120" w:beforeAutospacing="0" w:after="120" w:afterAutospacing="0" w:line="240" w:lineRule="auto"/>
        <w:ind w:firstLine="709"/>
        <w:jc w:val="both"/>
        <w:rPr>
          <w:sz w:val="28"/>
          <w:szCs w:val="28"/>
        </w:rPr>
      </w:pPr>
      <w:r>
        <w:rPr>
          <w:sz w:val="28"/>
          <w:szCs w:val="28"/>
        </w:rPr>
        <w:t>Tạo cơ sở để các cơ quan, đơn vị, địa phương chủ động trong công tác bố trí, điều hòa, tăng cường nhân lực; góp phần nâng cao chất lượng hoạt động của cơ quan, đơn vị, địa phương, nhất là tại những nơi còn thiếu nhân lực hoặc thiếu nhân lực chuyên môn đáp ứng yêu cầu nhiệm vụ.</w:t>
      </w:r>
    </w:p>
    <w:p w14:paraId="5F8DFE36">
      <w:pPr>
        <w:keepNext/>
        <w:spacing w:before="120" w:after="120"/>
        <w:ind w:firstLine="709"/>
        <w:jc w:val="both"/>
        <w:rPr>
          <w:sz w:val="28"/>
          <w:szCs w:val="28"/>
        </w:rPr>
      </w:pPr>
      <w:r>
        <w:rPr>
          <w:b/>
          <w:sz w:val="28"/>
          <w:szCs w:val="28"/>
        </w:rPr>
        <w:t>2. Quan điểm xây dựng dự thảo văn bản</w:t>
      </w:r>
    </w:p>
    <w:p w14:paraId="655E508E">
      <w:pPr>
        <w:spacing w:before="120" w:after="120"/>
        <w:ind w:firstLine="709"/>
        <w:jc w:val="both"/>
        <w:rPr>
          <w:sz w:val="28"/>
          <w:szCs w:val="28"/>
        </w:rPr>
      </w:pPr>
      <w:r>
        <w:rPr>
          <w:b/>
          <w:sz w:val="28"/>
          <w:szCs w:val="28"/>
        </w:rPr>
        <w:t xml:space="preserve">- </w:t>
      </w:r>
      <w:r>
        <w:rPr>
          <w:sz w:val="28"/>
          <w:szCs w:val="28"/>
        </w:rPr>
        <w:t>Bám sát chủ trương của Đảng, tuân thủ Hiến pháp, pháp luật và bảo đảm đúng thẩm quyền của HĐND tỉnh.</w:t>
      </w:r>
    </w:p>
    <w:p w14:paraId="6E4549D9">
      <w:pPr>
        <w:spacing w:before="120" w:after="120"/>
        <w:ind w:firstLine="709"/>
        <w:jc w:val="both"/>
        <w:rPr>
          <w:sz w:val="28"/>
          <w:szCs w:val="28"/>
        </w:rPr>
      </w:pPr>
      <w:r>
        <w:rPr>
          <w:sz w:val="28"/>
          <w:szCs w:val="28"/>
        </w:rPr>
        <w:t>- Xây dựng chính sách riêng, tổng thể, bảo đảm công bằng giữa các đối tượng có điều kiện, hoàn cảnh tương đồng; không phân biệt hình thức luân chuyển, điều động, biệt phái nếu đáp ứng các điều kiện hưởng chính sách theo quy định.</w:t>
      </w:r>
    </w:p>
    <w:p w14:paraId="732F0A1B">
      <w:pPr>
        <w:spacing w:before="120" w:after="120"/>
        <w:ind w:firstLine="709"/>
        <w:jc w:val="both"/>
        <w:rPr>
          <w:sz w:val="28"/>
          <w:szCs w:val="28"/>
        </w:rPr>
      </w:pPr>
      <w:r>
        <w:rPr>
          <w:sz w:val="28"/>
          <w:szCs w:val="28"/>
        </w:rPr>
        <w:t>- Xác định đối tượng hưởng chính sách trên cơ sở nhu cầu tăng cường nhân lực thực tế, gắn với khoảng cách, địa bàn, vị trí, lĩnh vực công tác, thời gian thực hiện nhiệm vụ và điều kiện phát sinh khó khăn...; không áp dụng đại trà đối với mọi trường hợp luân chuyển, điều động, biệt phái.</w:t>
      </w:r>
    </w:p>
    <w:p w14:paraId="6EA3ACCF">
      <w:pPr>
        <w:spacing w:before="120" w:after="120"/>
        <w:ind w:firstLine="709"/>
        <w:jc w:val="both"/>
        <w:rPr>
          <w:sz w:val="28"/>
          <w:szCs w:val="28"/>
        </w:rPr>
      </w:pPr>
      <w:r>
        <w:rPr>
          <w:sz w:val="28"/>
          <w:szCs w:val="28"/>
        </w:rPr>
        <w:t>- Bảo đảm không trùng lặp với chế độ, chính sách do Trung ương quy định; mức hỗ trợ phù hợp với điều kiện thực tế, có tính khả thi và khả năng cân đối ngân sách của tỉnh.</w:t>
      </w:r>
    </w:p>
    <w:p w14:paraId="18297CE9">
      <w:pPr>
        <w:keepNext/>
        <w:spacing w:before="120" w:after="120"/>
        <w:ind w:firstLine="709"/>
        <w:jc w:val="both"/>
        <w:rPr>
          <w:sz w:val="28"/>
          <w:szCs w:val="28"/>
        </w:rPr>
      </w:pPr>
      <w:r>
        <w:rPr>
          <w:b/>
          <w:sz w:val="28"/>
          <w:szCs w:val="28"/>
        </w:rPr>
        <w:t>III. QUÁ TRÌNH XÂY DỰNG DỰ ÁN, DỰ THẢO VĂN BẢN</w:t>
      </w:r>
    </w:p>
    <w:p w14:paraId="0AA9A5EE">
      <w:pPr>
        <w:spacing w:before="120" w:after="120"/>
        <w:ind w:firstLine="709"/>
        <w:jc w:val="both"/>
        <w:rPr>
          <w:b/>
          <w:sz w:val="28"/>
          <w:szCs w:val="28"/>
          <w:shd w:val="clear" w:color="auto" w:fill="FFFFFF"/>
          <w:lang w:val="nl-NL"/>
        </w:rPr>
      </w:pPr>
      <w:r>
        <w:rPr>
          <w:b/>
          <w:sz w:val="28"/>
          <w:szCs w:val="28"/>
          <w:shd w:val="clear" w:color="auto" w:fill="FFFFFF"/>
          <w:lang w:val="nl-NL"/>
        </w:rPr>
        <w:t xml:space="preserve">1. Chủ trương xây dựng dự thảo Nghị </w:t>
      </w:r>
      <w:r>
        <w:rPr>
          <w:b/>
          <w:sz w:val="28"/>
          <w:szCs w:val="28"/>
          <w:shd w:val="clear" w:color="auto" w:fill="FFFFFF"/>
          <w:lang w:val="vi-VN"/>
        </w:rPr>
        <w:t xml:space="preserve">quyết </w:t>
      </w:r>
    </w:p>
    <w:p w14:paraId="294F402D">
      <w:pPr>
        <w:tabs>
          <w:tab w:val="left" w:pos="720"/>
        </w:tabs>
        <w:spacing w:before="120" w:after="120"/>
        <w:ind w:firstLine="709"/>
        <w:jc w:val="both"/>
        <w:rPr>
          <w:sz w:val="28"/>
          <w:szCs w:val="28"/>
        </w:rPr>
      </w:pPr>
      <w:r>
        <w:rPr>
          <w:sz w:val="28"/>
          <w:szCs w:val="28"/>
        </w:rPr>
        <w:t>1.1. Ngày 18/9/2026, Thường trực Tỉnh ủy đã có kết luận tại Thông báo số 183-TB/TU về việc xây dựng chính sách hỗ trợ đối với người được luân chuyển, điều động, biệt phái theo hướng xây dựng chính sách riêng, tổng thể, bảo đảm công bằng giữa các đối tượng.</w:t>
      </w:r>
    </w:p>
    <w:p w14:paraId="605DD856">
      <w:pPr>
        <w:tabs>
          <w:tab w:val="left" w:pos="720"/>
        </w:tabs>
        <w:spacing w:before="120" w:after="120"/>
        <w:ind w:firstLine="709"/>
        <w:jc w:val="both"/>
        <w:rPr>
          <w:bCs/>
          <w:iCs/>
          <w:spacing w:val="-2"/>
          <w:sz w:val="28"/>
          <w:szCs w:val="28"/>
          <w:lang w:val="nl-NL"/>
        </w:rPr>
      </w:pPr>
      <w:r>
        <w:rPr>
          <w:sz w:val="28"/>
          <w:szCs w:val="28"/>
        </w:rPr>
        <w:t>1.2. T</w:t>
      </w:r>
      <w:r>
        <w:rPr>
          <w:sz w:val="28"/>
          <w:szCs w:val="28"/>
          <w:shd w:val="clear" w:color="auto" w:fill="FFFFFF"/>
          <w:lang w:val="nl-NL"/>
        </w:rPr>
        <w:t xml:space="preserve">rên cơ sở </w:t>
      </w:r>
      <w:r>
        <w:rPr>
          <w:sz w:val="28"/>
          <w:szCs w:val="28"/>
        </w:rPr>
        <w:t xml:space="preserve">báo cáo, đề nghị của </w:t>
      </w:r>
      <w:r>
        <w:rPr>
          <w:sz w:val="28"/>
          <w:szCs w:val="28"/>
          <w:shd w:val="clear" w:color="auto" w:fill="FFFFFF"/>
          <w:lang w:val="nl-NL"/>
        </w:rPr>
        <w:t xml:space="preserve">Sở Nội vụ tại </w:t>
      </w:r>
      <w:r>
        <w:rPr>
          <w:sz w:val="28"/>
          <w:szCs w:val="28"/>
        </w:rPr>
        <w:t>Văn bản số 64/TTr-SNV ngày 15/10/2026 về việc đăng ký xây dựng Nghị quyết của Hội đồng nhân dân tỉnh quy định chính sách hỗ trợ đối với cán bộ, công chức, viên chức được luân chuyển, điều động, biệt phái đến công tác tại cơ sở, địa bàn, vị trí cần tăng cường nhân lực của tỉnh Hà Tĩnh (sau khi có ý kiến của Sở Tư pháp tại Văn bản số 2808/STP-XDPL ngày 14/10/2026);</w:t>
      </w:r>
      <w:r>
        <w:rPr>
          <w:sz w:val="28"/>
          <w:szCs w:val="28"/>
          <w:shd w:val="clear" w:color="auto" w:fill="FFFFFF"/>
          <w:lang w:val="nl-NL"/>
        </w:rPr>
        <w:t xml:space="preserve"> UBND tỉnh đã ban hành </w:t>
      </w:r>
      <w:r>
        <w:rPr>
          <w:sz w:val="28"/>
          <w:szCs w:val="28"/>
        </w:rPr>
        <w:t xml:space="preserve">Văn bản số 10974/UBND-NC ngày 23/10/2026 </w:t>
      </w:r>
      <w:r>
        <w:rPr>
          <w:color w:val="000000"/>
          <w:sz w:val="28"/>
          <w:szCs w:val="28"/>
        </w:rPr>
        <w:t>về việc đăng ký xây dựng Nghị quyết của HĐND tỉnh</w:t>
      </w:r>
      <w:r>
        <w:rPr>
          <w:sz w:val="28"/>
          <w:szCs w:val="28"/>
        </w:rPr>
        <w:t xml:space="preserve"> </w:t>
      </w:r>
      <w:r>
        <w:rPr>
          <w:color w:val="000000"/>
          <w:sz w:val="28"/>
          <w:szCs w:val="28"/>
        </w:rPr>
        <w:t>quy định chính sách hỗ trợ đối với cán bộ, công chức, viên chức được luân chuyển, điều động, biệt phái đến công tác tại cơ sở, địa bàn, vị trí cần tăng cường nhân lực của tỉnh Hà Tĩnh</w:t>
      </w:r>
      <w:r>
        <w:rPr>
          <w:sz w:val="28"/>
          <w:szCs w:val="28"/>
        </w:rPr>
        <w:t>.</w:t>
      </w:r>
    </w:p>
    <w:p w14:paraId="0B413ADB">
      <w:pPr>
        <w:tabs>
          <w:tab w:val="left" w:pos="720"/>
        </w:tabs>
        <w:spacing w:before="120" w:after="120"/>
        <w:ind w:firstLine="709"/>
        <w:jc w:val="both"/>
        <w:rPr>
          <w:sz w:val="28"/>
          <w:szCs w:val="28"/>
        </w:rPr>
      </w:pPr>
      <w:r>
        <w:rPr>
          <w:sz w:val="28"/>
          <w:szCs w:val="28"/>
        </w:rPr>
        <w:t xml:space="preserve"> 1.3. T</w:t>
      </w:r>
      <w:r>
        <w:rPr>
          <w:color w:val="000000"/>
          <w:sz w:val="28"/>
          <w:szCs w:val="28"/>
        </w:rPr>
        <w:t xml:space="preserve">hực hiện Kế hoạch số 985/KH-HĐND ngày 20/10/2026 của HĐND tỉnh </w:t>
      </w:r>
      <w:r>
        <w:rPr>
          <w:sz w:val="28"/>
          <w:szCs w:val="28"/>
        </w:rPr>
        <w:t>chuẩn bị, tổ chức Kỳ họp thường lệ cuối năm 2026 của Hội đồng nhân dân tỉnh khóa XIX, nhiệm kỳ 2026-2031 và Văn bản số ....của HĐND tỉnh,</w:t>
      </w:r>
      <w:r>
        <w:rPr>
          <w:sz w:val="28"/>
          <w:szCs w:val="28"/>
          <w:shd w:val="clear" w:color="auto" w:fill="FFFFFF"/>
          <w:lang w:val="nl-NL"/>
        </w:rPr>
        <w:t xml:space="preserve">UBND tỉnh trình Hội đồng nhân dân tỉnh xem xét, thông qua dự thảo Nghị quyết </w:t>
      </w:r>
      <w:r>
        <w:rPr>
          <w:sz w:val="28"/>
          <w:szCs w:val="28"/>
          <w:lang w:val="vi-VN"/>
        </w:rPr>
        <w:t>quy định</w:t>
      </w:r>
      <w:r>
        <w:rPr>
          <w:sz w:val="28"/>
          <w:szCs w:val="28"/>
        </w:rPr>
        <w:t xml:space="preserve"> chính sách hỗ trợ cán bộ, công chức, viên chức được luân chuyển, điều động, biệt phái đến công tác tại cơ sở, địa bàn, vị trí cần tăng cường nhân lực trên địa bàn tỉnh Hà Tĩnh vào kỳ họp cuối năm 2026.</w:t>
      </w:r>
    </w:p>
    <w:p w14:paraId="607B8E57">
      <w:pPr>
        <w:spacing w:before="120" w:after="120"/>
        <w:ind w:firstLine="709"/>
        <w:jc w:val="both"/>
        <w:rPr>
          <w:b/>
          <w:bCs/>
          <w:sz w:val="28"/>
          <w:szCs w:val="28"/>
          <w:lang w:val="nl-NL"/>
        </w:rPr>
      </w:pPr>
      <w:r>
        <w:rPr>
          <w:b/>
          <w:bCs/>
          <w:sz w:val="28"/>
          <w:szCs w:val="28"/>
          <w:lang w:val="nl-NL"/>
        </w:rPr>
        <w:t>2.</w:t>
      </w:r>
      <w:r>
        <w:rPr>
          <w:sz w:val="28"/>
          <w:szCs w:val="28"/>
          <w:lang w:val="nl-NL"/>
        </w:rPr>
        <w:t xml:space="preserve"> </w:t>
      </w:r>
      <w:r>
        <w:rPr>
          <w:b/>
          <w:bCs/>
          <w:sz w:val="28"/>
          <w:szCs w:val="28"/>
          <w:lang w:val="vi-VN"/>
        </w:rPr>
        <w:t xml:space="preserve">Lấy </w:t>
      </w:r>
      <w:r>
        <w:rPr>
          <w:b/>
          <w:bCs/>
          <w:sz w:val="28"/>
          <w:szCs w:val="28"/>
          <w:lang w:val="nl-NL"/>
        </w:rPr>
        <w:t>ý kiến góp ý đối với hồ sơ dự thảo Nghị quyết</w:t>
      </w:r>
    </w:p>
    <w:p w14:paraId="7F1094F1">
      <w:pPr>
        <w:spacing w:before="120" w:after="120"/>
        <w:ind w:firstLine="709"/>
        <w:jc w:val="both"/>
        <w:rPr>
          <w:bCs/>
          <w:iCs/>
          <w:spacing w:val="-2"/>
          <w:sz w:val="28"/>
          <w:szCs w:val="28"/>
          <w:lang w:val="nl-NL"/>
        </w:rPr>
      </w:pPr>
      <w:r>
        <w:rPr>
          <w:b/>
          <w:i/>
          <w:spacing w:val="-2"/>
          <w:sz w:val="28"/>
          <w:szCs w:val="28"/>
          <w:lang w:val="nl-NL"/>
        </w:rPr>
        <w:t>2.1.</w:t>
      </w:r>
      <w:r>
        <w:rPr>
          <w:spacing w:val="-2"/>
          <w:sz w:val="28"/>
          <w:szCs w:val="28"/>
          <w:lang w:val="nl-NL"/>
        </w:rPr>
        <w:t xml:space="preserve"> Sở Nội </w:t>
      </w:r>
      <w:r>
        <w:rPr>
          <w:bCs/>
          <w:iCs/>
          <w:spacing w:val="-2"/>
          <w:sz w:val="28"/>
          <w:szCs w:val="28"/>
          <w:lang w:val="nl-NL"/>
        </w:rPr>
        <w:t xml:space="preserve">vụ ban hành </w:t>
      </w:r>
      <w:r>
        <w:rPr>
          <w:sz w:val="28"/>
          <w:szCs w:val="28"/>
        </w:rPr>
        <w:t xml:space="preserve">Văn bản số </w:t>
      </w:r>
      <w:r>
        <w:rPr>
          <w:color w:val="000000"/>
          <w:sz w:val="28"/>
          <w:szCs w:val="28"/>
        </w:rPr>
        <w:t xml:space="preserve">..../SNV-CCVC ngày /./2026 </w:t>
      </w:r>
      <w:r>
        <w:rPr>
          <w:bCs/>
          <w:iCs/>
          <w:spacing w:val="-2"/>
          <w:sz w:val="28"/>
          <w:szCs w:val="28"/>
          <w:lang w:val="nl-NL"/>
        </w:rPr>
        <w:t xml:space="preserve">gửi Ban Tổ chức Tỉnh ủy, </w:t>
      </w:r>
      <w:r>
        <w:rPr>
          <w:bCs/>
          <w:iCs/>
          <w:spacing w:val="-6"/>
          <w:sz w:val="28"/>
          <w:szCs w:val="28"/>
          <w:lang w:val="nl-NL"/>
        </w:rPr>
        <w:t xml:space="preserve">các sở, ban, ngành cấp tỉnh, đơn vị sự nghiệp cấp tỉnh, UBND các xã, phường </w:t>
      </w:r>
      <w:r>
        <w:rPr>
          <w:bCs/>
          <w:iCs/>
          <w:spacing w:val="-2"/>
          <w:sz w:val="28"/>
          <w:szCs w:val="28"/>
          <w:lang w:val="nl-NL"/>
        </w:rPr>
        <w:t>để lấy ý kiến về hồ sơ dự thảo Nghị quyết.</w:t>
      </w:r>
    </w:p>
    <w:p w14:paraId="3A2ECCA0">
      <w:pPr>
        <w:spacing w:before="120" w:after="120"/>
        <w:ind w:firstLine="709"/>
        <w:jc w:val="both"/>
        <w:rPr>
          <w:spacing w:val="-6"/>
          <w:sz w:val="28"/>
          <w:szCs w:val="28"/>
          <w:lang w:val="nl-NL"/>
        </w:rPr>
      </w:pPr>
      <w:r>
        <w:rPr>
          <w:b/>
          <w:bCs/>
          <w:i/>
          <w:iCs/>
          <w:spacing w:val="-6"/>
          <w:sz w:val="28"/>
          <w:szCs w:val="28"/>
          <w:lang w:val="nl-NL"/>
        </w:rPr>
        <w:t xml:space="preserve"> 2.2.</w:t>
      </w:r>
      <w:r>
        <w:rPr>
          <w:b/>
          <w:bCs/>
          <w:spacing w:val="-6"/>
          <w:sz w:val="28"/>
          <w:szCs w:val="28"/>
          <w:lang w:val="nl-NL"/>
        </w:rPr>
        <w:t xml:space="preserve"> </w:t>
      </w:r>
      <w:r>
        <w:rPr>
          <w:spacing w:val="-6"/>
          <w:sz w:val="28"/>
          <w:szCs w:val="28"/>
          <w:lang w:val="nl-NL"/>
        </w:rPr>
        <w:t xml:space="preserve">Kết quả lấy ý kiến góp ý theo </w:t>
      </w:r>
      <w:r>
        <w:rPr>
          <w:sz w:val="28"/>
          <w:szCs w:val="28"/>
        </w:rPr>
        <w:t xml:space="preserve">Văn bản số </w:t>
      </w:r>
      <w:r>
        <w:rPr>
          <w:color w:val="000000"/>
          <w:sz w:val="28"/>
          <w:szCs w:val="28"/>
        </w:rPr>
        <w:t>.../SNV-CCVC</w:t>
      </w:r>
      <w:r>
        <w:rPr>
          <w:spacing w:val="-6"/>
          <w:sz w:val="28"/>
          <w:szCs w:val="28"/>
          <w:lang w:val="nl-NL"/>
        </w:rPr>
        <w:t>, cụ thể như sau:</w:t>
      </w:r>
    </w:p>
    <w:p w14:paraId="306CDF55">
      <w:pPr>
        <w:spacing w:before="120" w:after="120"/>
        <w:ind w:firstLine="709"/>
        <w:jc w:val="both"/>
        <w:rPr>
          <w:spacing w:val="-2"/>
          <w:sz w:val="28"/>
          <w:szCs w:val="28"/>
          <w:lang w:val="vi-VN"/>
        </w:rPr>
      </w:pPr>
      <w:r>
        <w:rPr>
          <w:spacing w:val="-2"/>
          <w:sz w:val="28"/>
          <w:szCs w:val="28"/>
          <w:lang w:val="nl-NL"/>
        </w:rPr>
        <w:t xml:space="preserve">Ý kiến của </w:t>
      </w:r>
      <w:r>
        <w:rPr>
          <w:spacing w:val="-2"/>
          <w:sz w:val="28"/>
          <w:szCs w:val="28"/>
          <w:lang w:val="vi-VN"/>
        </w:rPr>
        <w:t>các cơ quan có liên quan</w:t>
      </w:r>
      <w:r>
        <w:rPr>
          <w:spacing w:val="-2"/>
          <w:sz w:val="28"/>
          <w:szCs w:val="28"/>
          <w:lang w:val="nl-NL"/>
        </w:rPr>
        <w:t xml:space="preserve">: </w:t>
      </w:r>
      <w:r>
        <w:rPr>
          <w:spacing w:val="-2"/>
          <w:sz w:val="28"/>
          <w:szCs w:val="28"/>
        </w:rPr>
        <w:t xml:space="preserve">... </w:t>
      </w:r>
      <w:r>
        <w:rPr>
          <w:spacing w:val="-2"/>
          <w:sz w:val="28"/>
          <w:szCs w:val="28"/>
          <w:lang w:val="nl-NL"/>
        </w:rPr>
        <w:t>cơ quan, đơn vị; trong đó</w:t>
      </w:r>
      <w:r>
        <w:rPr>
          <w:spacing w:val="-2"/>
          <w:sz w:val="28"/>
          <w:szCs w:val="28"/>
          <w:lang w:val="vi-VN"/>
        </w:rPr>
        <w:t>:</w:t>
      </w:r>
    </w:p>
    <w:p w14:paraId="5BC0851C">
      <w:pPr>
        <w:spacing w:before="120" w:after="120"/>
        <w:ind w:firstLine="709"/>
        <w:jc w:val="both"/>
        <w:rPr>
          <w:spacing w:val="-2"/>
          <w:sz w:val="28"/>
          <w:szCs w:val="28"/>
          <w:lang w:val="vi-VN"/>
        </w:rPr>
      </w:pPr>
      <w:r>
        <w:rPr>
          <w:spacing w:val="-2"/>
          <w:sz w:val="28"/>
          <w:szCs w:val="28"/>
        </w:rPr>
        <w:t>+</w:t>
      </w:r>
      <w:r>
        <w:rPr>
          <w:spacing w:val="-2"/>
          <w:sz w:val="28"/>
          <w:szCs w:val="28"/>
          <w:lang w:val="vi-VN"/>
        </w:rPr>
        <w:t xml:space="preserve"> Thống nhất hồ sơ dự thảo Nghị quyết: </w:t>
      </w:r>
      <w:r>
        <w:rPr>
          <w:spacing w:val="-2"/>
          <w:sz w:val="28"/>
          <w:szCs w:val="28"/>
        </w:rPr>
        <w:t>...</w:t>
      </w:r>
      <w:r>
        <w:rPr>
          <w:spacing w:val="-2"/>
          <w:sz w:val="28"/>
          <w:szCs w:val="28"/>
          <w:lang w:val="nl-NL"/>
        </w:rPr>
        <w:t>cơ quan, đơn vị</w:t>
      </w:r>
      <w:r>
        <w:rPr>
          <w:spacing w:val="-2"/>
          <w:sz w:val="28"/>
          <w:szCs w:val="28"/>
          <w:lang w:val="vi-VN"/>
        </w:rPr>
        <w:t>;</w:t>
      </w:r>
    </w:p>
    <w:p w14:paraId="03BF7D16">
      <w:pPr>
        <w:spacing w:before="120" w:after="120"/>
        <w:ind w:firstLine="709"/>
        <w:jc w:val="both"/>
        <w:rPr>
          <w:spacing w:val="-2"/>
          <w:sz w:val="28"/>
          <w:szCs w:val="28"/>
          <w:lang w:val="nl-NL"/>
        </w:rPr>
      </w:pPr>
      <w:r>
        <w:rPr>
          <w:spacing w:val="-2"/>
          <w:sz w:val="28"/>
          <w:szCs w:val="28"/>
        </w:rPr>
        <w:t>+</w:t>
      </w:r>
      <w:r>
        <w:rPr>
          <w:spacing w:val="-2"/>
          <w:sz w:val="28"/>
          <w:szCs w:val="28"/>
          <w:lang w:val="vi-VN"/>
        </w:rPr>
        <w:t xml:space="preserve"> Có</w:t>
      </w:r>
      <w:r>
        <w:rPr>
          <w:spacing w:val="-2"/>
          <w:sz w:val="28"/>
          <w:szCs w:val="28"/>
          <w:lang w:val="nl-NL"/>
        </w:rPr>
        <w:t xml:space="preserve"> ý kiến góp ý</w:t>
      </w:r>
      <w:r>
        <w:rPr>
          <w:spacing w:val="-2"/>
          <w:sz w:val="28"/>
          <w:szCs w:val="28"/>
          <w:lang w:val="vi-VN"/>
        </w:rPr>
        <w:t xml:space="preserve"> hồ sơ dự thảo Nghị quyết: </w:t>
      </w:r>
      <w:r>
        <w:rPr>
          <w:spacing w:val="-2"/>
          <w:sz w:val="28"/>
          <w:szCs w:val="28"/>
        </w:rPr>
        <w:t>...</w:t>
      </w:r>
      <w:r>
        <w:rPr>
          <w:spacing w:val="-2"/>
          <w:sz w:val="28"/>
          <w:szCs w:val="28"/>
          <w:lang w:val="vi-VN"/>
        </w:rPr>
        <w:t xml:space="preserve"> </w:t>
      </w:r>
      <w:r>
        <w:rPr>
          <w:spacing w:val="-2"/>
          <w:sz w:val="28"/>
          <w:szCs w:val="28"/>
          <w:lang w:val="nl-NL"/>
        </w:rPr>
        <w:t>cơ quan, đơn vị;</w:t>
      </w:r>
    </w:p>
    <w:p w14:paraId="642E5669">
      <w:pPr>
        <w:spacing w:before="120" w:after="120"/>
        <w:ind w:firstLine="709"/>
        <w:jc w:val="both"/>
        <w:rPr>
          <w:spacing w:val="-2"/>
          <w:sz w:val="28"/>
          <w:szCs w:val="28"/>
          <w:lang w:val="nl-NL"/>
        </w:rPr>
      </w:pPr>
      <w:r>
        <w:rPr>
          <w:spacing w:val="-2"/>
          <w:sz w:val="28"/>
          <w:szCs w:val="28"/>
          <w:lang w:val="nl-NL"/>
        </w:rPr>
        <w:t>+ Không có ý kiến góp ý</w:t>
      </w:r>
      <w:r>
        <w:rPr>
          <w:spacing w:val="-2"/>
          <w:sz w:val="28"/>
          <w:szCs w:val="28"/>
          <w:lang w:val="vi-VN"/>
        </w:rPr>
        <w:t xml:space="preserve"> hồ sơ dự thảo Nghị quyết</w:t>
      </w:r>
      <w:r>
        <w:rPr>
          <w:spacing w:val="-2"/>
          <w:sz w:val="28"/>
          <w:szCs w:val="28"/>
        </w:rPr>
        <w:t xml:space="preserve">: ... cơ quan, đơn vị. </w:t>
      </w:r>
    </w:p>
    <w:p w14:paraId="60B5D46E">
      <w:pPr>
        <w:spacing w:before="120" w:after="120"/>
        <w:ind w:firstLine="709"/>
        <w:jc w:val="both"/>
        <w:rPr>
          <w:b/>
          <w:sz w:val="28"/>
          <w:szCs w:val="28"/>
          <w:lang w:val="nl-NL"/>
        </w:rPr>
      </w:pPr>
      <w:r>
        <w:rPr>
          <w:b/>
          <w:sz w:val="28"/>
          <w:szCs w:val="28"/>
          <w:lang w:val="nl-NL"/>
        </w:rPr>
        <w:t>3. Thẩm định hồ sơ dự thảo Nghị quyết</w:t>
      </w:r>
    </w:p>
    <w:p w14:paraId="3AA37B72">
      <w:pPr>
        <w:spacing w:before="120" w:after="120"/>
        <w:ind w:firstLine="709"/>
        <w:jc w:val="both"/>
        <w:rPr>
          <w:sz w:val="28"/>
          <w:szCs w:val="28"/>
          <w:lang w:val="nl-NL"/>
        </w:rPr>
      </w:pPr>
      <w:r>
        <w:rPr>
          <w:b/>
          <w:i/>
          <w:sz w:val="28"/>
          <w:szCs w:val="28"/>
          <w:lang w:val="nl-NL"/>
        </w:rPr>
        <w:t>3.1.</w:t>
      </w:r>
      <w:r>
        <w:rPr>
          <w:sz w:val="28"/>
          <w:szCs w:val="28"/>
          <w:lang w:val="nl-NL"/>
        </w:rPr>
        <w:t xml:space="preserve"> Trên cơ sở ý kiến góp ý của các cơ quan, đơn vị, Sở Nội vụ đã ban hành </w:t>
      </w:r>
      <w:r>
        <w:rPr>
          <w:sz w:val="28"/>
          <w:szCs w:val="28"/>
        </w:rPr>
        <w:t xml:space="preserve">Văn bản số    /SNV-CCVC ngày /   /2026 </w:t>
      </w:r>
      <w:r>
        <w:rPr>
          <w:sz w:val="28"/>
          <w:szCs w:val="28"/>
          <w:lang w:val="nl-NL"/>
        </w:rPr>
        <w:t xml:space="preserve">đề nghị Sở Tư pháp thẩm định đối với hồ sơ dự thảo Nghị quyết của Hội đồng nhân dân </w:t>
      </w:r>
      <w:r>
        <w:rPr>
          <w:sz w:val="28"/>
          <w:szCs w:val="28"/>
          <w:lang w:val="vi-VN"/>
        </w:rPr>
        <w:t>tỉnh</w:t>
      </w:r>
      <w:r>
        <w:rPr>
          <w:sz w:val="28"/>
          <w:szCs w:val="28"/>
          <w:lang w:val="nl-NL"/>
        </w:rPr>
        <w:t xml:space="preserve"> </w:t>
      </w:r>
      <w:r>
        <w:rPr>
          <w:sz w:val="28"/>
          <w:szCs w:val="28"/>
        </w:rPr>
        <w:t>quy định chính sách hỗ trợ cán bộ, công chức, viên chức được luân chuyển, điều động, biệt phái đến công tác tại cơ sở, địa bàn, vị trí cần tăng cường nhân lực trên địa bàn tỉnh Hà Tĩnh</w:t>
      </w:r>
      <w:r>
        <w:rPr>
          <w:sz w:val="28"/>
          <w:szCs w:val="28"/>
          <w:lang w:val="nl-NL"/>
        </w:rPr>
        <w:t>.</w:t>
      </w:r>
    </w:p>
    <w:p w14:paraId="2CC38514">
      <w:pPr>
        <w:spacing w:before="120" w:after="120"/>
        <w:ind w:firstLine="709"/>
        <w:jc w:val="both"/>
        <w:rPr>
          <w:spacing w:val="-4"/>
          <w:sz w:val="28"/>
          <w:szCs w:val="28"/>
          <w:lang w:val="nl-NL"/>
        </w:rPr>
      </w:pPr>
      <w:r>
        <w:rPr>
          <w:b/>
          <w:i/>
          <w:iCs/>
          <w:spacing w:val="-4"/>
          <w:sz w:val="28"/>
          <w:szCs w:val="28"/>
          <w:lang w:val="nl-NL"/>
        </w:rPr>
        <w:t>3.2.</w:t>
      </w:r>
      <w:r>
        <w:rPr>
          <w:spacing w:val="-4"/>
          <w:sz w:val="28"/>
          <w:szCs w:val="28"/>
          <w:lang w:val="nl-NL"/>
        </w:rPr>
        <w:t xml:space="preserve"> Ngày  /    /2026, Sở Tư pháp có Báo cáo thẩm định số </w:t>
      </w:r>
      <w:r>
        <w:rPr>
          <w:spacing w:val="-4"/>
          <w:sz w:val="28"/>
          <w:szCs w:val="28"/>
        </w:rPr>
        <w:t>…</w:t>
      </w:r>
      <w:r>
        <w:rPr>
          <w:spacing w:val="-4"/>
          <w:sz w:val="28"/>
          <w:szCs w:val="28"/>
          <w:lang w:val="nl-NL"/>
        </w:rPr>
        <w:t xml:space="preserve">/BC-STP đối với hồ sơ dự thảo Nghị quyết của HĐND tỉnh </w:t>
      </w:r>
      <w:r>
        <w:rPr>
          <w:sz w:val="28"/>
          <w:szCs w:val="28"/>
        </w:rPr>
        <w:t>quy định chính sách hỗ trợ cán bộ, công chức, viên chức được luân chuyển, điều động, biệt phái đến công tác tại cơ sở, địa bàn, vị trí cần tăng cường nhân lực trên địa bàn tỉnh Hà Tĩnh</w:t>
      </w:r>
      <w:r>
        <w:rPr>
          <w:spacing w:val="-4"/>
          <w:sz w:val="28"/>
          <w:szCs w:val="28"/>
          <w:lang w:val="nl-NL"/>
        </w:rPr>
        <w:t>.</w:t>
      </w:r>
    </w:p>
    <w:p w14:paraId="63D520BD">
      <w:pPr>
        <w:spacing w:before="120" w:after="120"/>
        <w:ind w:firstLine="709"/>
        <w:jc w:val="both"/>
        <w:rPr>
          <w:b/>
          <w:sz w:val="28"/>
          <w:szCs w:val="28"/>
          <w:lang w:val="nl-NL"/>
        </w:rPr>
      </w:pPr>
      <w:r>
        <w:rPr>
          <w:b/>
          <w:sz w:val="28"/>
          <w:szCs w:val="28"/>
          <w:lang w:val="nl-NL"/>
        </w:rPr>
        <w:t>4. Hoàn thiện hồ sơ dự thảo Nghị quyết</w:t>
      </w:r>
    </w:p>
    <w:p w14:paraId="0255CFA6">
      <w:pPr>
        <w:spacing w:before="120" w:after="120"/>
        <w:ind w:firstLine="709"/>
        <w:jc w:val="both"/>
        <w:rPr>
          <w:sz w:val="28"/>
          <w:szCs w:val="28"/>
        </w:rPr>
      </w:pPr>
      <w:r>
        <w:rPr>
          <w:sz w:val="28"/>
          <w:szCs w:val="28"/>
        </w:rPr>
        <w:t xml:space="preserve">Trên cơ sở ý kiến thẩm định của Sở Tư pháp tại Báo cáo </w:t>
      </w:r>
      <w:r>
        <w:rPr>
          <w:sz w:val="28"/>
          <w:szCs w:val="28"/>
          <w:lang w:val="nl-NL"/>
        </w:rPr>
        <w:t xml:space="preserve">số </w:t>
      </w:r>
      <w:r>
        <w:rPr>
          <w:sz w:val="28"/>
          <w:szCs w:val="28"/>
        </w:rPr>
        <w:t>….</w:t>
      </w:r>
      <w:r>
        <w:rPr>
          <w:sz w:val="28"/>
          <w:szCs w:val="28"/>
          <w:lang w:val="nl-NL"/>
        </w:rPr>
        <w:t>/BC-STP</w:t>
      </w:r>
      <w:r>
        <w:rPr>
          <w:sz w:val="28"/>
          <w:szCs w:val="28"/>
        </w:rPr>
        <w:t>; Sở Nội vụ đã hoàn thiện dự thảo Nghị quyết và ban hành Văn bản số …/SNV-CCVC ngày    /   /2026 trình UBND tỉnh dự thảo Nghị quyết của HĐND tỉnh quy định chính sách hỗ trợ cán bộ, công chức, viên chức được luân chuyển, điều động, biệt phái đến công tác tại cơ sở, địa bàn, vị trí cần tăng cường nhân lực trên địa bàn tỉnh Hà Tĩnh</w:t>
      </w:r>
      <w:r>
        <w:rPr>
          <w:sz w:val="28"/>
          <w:szCs w:val="28"/>
          <w:lang w:val="nl-NL"/>
        </w:rPr>
        <w:t>.</w:t>
      </w:r>
    </w:p>
    <w:p w14:paraId="310BD6BE">
      <w:pPr>
        <w:keepNext/>
        <w:spacing w:before="120" w:after="120"/>
        <w:ind w:firstLine="709"/>
        <w:jc w:val="both"/>
        <w:rPr>
          <w:sz w:val="28"/>
          <w:szCs w:val="28"/>
        </w:rPr>
      </w:pPr>
      <w:r>
        <w:rPr>
          <w:b/>
          <w:sz w:val="28"/>
          <w:szCs w:val="28"/>
        </w:rPr>
        <w:t>IV. BỐ CỤC VÀ NỘI DUNG CƠ BẢN CỦA DỰ ÁN, DỰ THẢO VĂN BẢN</w:t>
      </w:r>
    </w:p>
    <w:p w14:paraId="2E39FCC9">
      <w:pPr>
        <w:keepNext/>
        <w:spacing w:before="120" w:after="120"/>
        <w:ind w:firstLine="709"/>
        <w:jc w:val="both"/>
        <w:rPr>
          <w:sz w:val="28"/>
          <w:szCs w:val="28"/>
        </w:rPr>
      </w:pPr>
      <w:r>
        <w:rPr>
          <w:b/>
          <w:sz w:val="28"/>
          <w:szCs w:val="28"/>
        </w:rPr>
        <w:t>1. Phạm vi điều chỉnh, đối tượng áp dụng</w:t>
      </w:r>
    </w:p>
    <w:p w14:paraId="01A379A0">
      <w:pPr>
        <w:spacing w:before="120" w:after="120"/>
        <w:ind w:firstLine="709"/>
        <w:jc w:val="both"/>
        <w:rPr>
          <w:sz w:val="28"/>
          <w:szCs w:val="28"/>
        </w:rPr>
      </w:pPr>
      <w:r>
        <w:rPr>
          <w:sz w:val="28"/>
          <w:szCs w:val="28"/>
        </w:rPr>
        <w:t>a) Phạm vi điều chỉnh: Quy định chính sách hỗ trợ cán bộ, công chức, viên chức được luân chuyển, điều động, biệt phái đến công tác tại cơ sở, địa bàn, vị trí cần tăng cường nhân lực trên địa bàn tỉnh Hà Tĩnh.</w:t>
      </w:r>
    </w:p>
    <w:p w14:paraId="777D90FD">
      <w:pPr>
        <w:spacing w:before="120" w:after="120"/>
        <w:ind w:firstLine="709"/>
        <w:jc w:val="both"/>
        <w:rPr>
          <w:sz w:val="28"/>
          <w:szCs w:val="28"/>
        </w:rPr>
      </w:pPr>
      <w:r>
        <w:rPr>
          <w:sz w:val="28"/>
          <w:szCs w:val="28"/>
        </w:rPr>
        <w:t>b) Đối tượng áp dụng: Cán bộ, công chức, viên chức thuộc phạm vi điều chỉnh của Nghị quyết, đáp ứng điều kiện hưởng chính sách; các cơ quan, tổ chức, đơn vị và cá nhân có liên quan đến việc thực hiện chính sách</w:t>
      </w:r>
      <w:r>
        <w:rPr>
          <w:rStyle w:val="13"/>
          <w:sz w:val="28"/>
          <w:szCs w:val="28"/>
        </w:rPr>
        <w:footnoteReference w:id="1"/>
      </w:r>
      <w:r>
        <w:rPr>
          <w:sz w:val="28"/>
          <w:szCs w:val="28"/>
        </w:rPr>
        <w:t>.</w:t>
      </w:r>
    </w:p>
    <w:p w14:paraId="27303E03">
      <w:pPr>
        <w:keepNext/>
        <w:spacing w:before="120" w:after="120"/>
        <w:ind w:firstLine="709"/>
        <w:jc w:val="both"/>
        <w:rPr>
          <w:sz w:val="28"/>
          <w:szCs w:val="28"/>
        </w:rPr>
      </w:pPr>
      <w:r>
        <w:rPr>
          <w:b/>
          <w:sz w:val="28"/>
          <w:szCs w:val="28"/>
        </w:rPr>
        <w:t>2. Bố cục của dự thảo văn bản</w:t>
      </w:r>
    </w:p>
    <w:p w14:paraId="00C7C11A">
      <w:pPr>
        <w:spacing w:before="120" w:after="120"/>
        <w:ind w:firstLine="709"/>
        <w:jc w:val="both"/>
        <w:rPr>
          <w:sz w:val="28"/>
          <w:szCs w:val="28"/>
        </w:rPr>
      </w:pPr>
      <w:r>
        <w:rPr>
          <w:sz w:val="28"/>
          <w:szCs w:val="28"/>
        </w:rPr>
        <w:t>Dự thảo Nghị quyết gồm 12 điều, quy định về phạm vi điều chỉnh, đối tượng áp dụng, nguyên tắc hỗ trợ, xác định nơi cần tăng cường nhân lực, điều kiện hưởng chính sách; các khoản hỗ trợ; thời gian hưởng, hồ sơ, kinh phí, tổ chức thực hiện và chuyển tiếp.</w:t>
      </w:r>
    </w:p>
    <w:p w14:paraId="0A47A4EA">
      <w:pPr>
        <w:keepNext/>
        <w:spacing w:before="120" w:after="120"/>
        <w:ind w:firstLine="709"/>
        <w:jc w:val="both"/>
        <w:rPr>
          <w:sz w:val="28"/>
          <w:szCs w:val="28"/>
        </w:rPr>
      </w:pPr>
      <w:r>
        <w:rPr>
          <w:b/>
          <w:sz w:val="28"/>
          <w:szCs w:val="28"/>
        </w:rPr>
        <w:t>3. Nội dung cơ bản</w:t>
      </w:r>
      <w:r>
        <w:rPr>
          <w:rStyle w:val="13"/>
          <w:b/>
          <w:sz w:val="28"/>
          <w:szCs w:val="28"/>
        </w:rPr>
        <w:footnoteReference w:id="2"/>
      </w:r>
    </w:p>
    <w:p w14:paraId="798E6DC3">
      <w:pPr>
        <w:spacing w:before="120" w:after="120"/>
        <w:ind w:firstLine="709"/>
        <w:jc w:val="both"/>
        <w:rPr>
          <w:sz w:val="28"/>
          <w:szCs w:val="28"/>
        </w:rPr>
      </w:pPr>
      <w:r>
        <w:rPr>
          <w:sz w:val="28"/>
          <w:szCs w:val="28"/>
        </w:rPr>
        <w:t>a) Nguyên tắc, điều kiện áp dụng: Chính sách được áp dụng có điều kiện, gắn với quyết định luân chuyển, điều động, biệt phái của cấp có thẩm quyền và yêu cầu tăng cường nhân lực; bảo đảm đúng đối tượng, công khai, không thanh toán trùng.</w:t>
      </w:r>
    </w:p>
    <w:p w14:paraId="6815C57D">
      <w:pPr>
        <w:spacing w:before="120" w:after="120"/>
        <w:ind w:firstLine="709"/>
        <w:jc w:val="both"/>
        <w:rPr>
          <w:sz w:val="28"/>
          <w:szCs w:val="28"/>
        </w:rPr>
      </w:pPr>
      <w:r>
        <w:rPr>
          <w:sz w:val="28"/>
          <w:szCs w:val="28"/>
        </w:rPr>
        <w:t>b) Hỗ trợ đi lại: Mức hỗ trợ 1.000.000 đồng/người/tháng đối với cự ly từ 15 km đến dưới 30 km; 1.500.000 đồng/người/tháng đối với cự ly từ 30 km đến dưới 60 km; 1.900.000 đồng/người/tháng đối với cự ly từ 60 km trở lên.</w:t>
      </w:r>
    </w:p>
    <w:p w14:paraId="2646475F">
      <w:pPr>
        <w:spacing w:before="120" w:after="120"/>
        <w:ind w:firstLine="709"/>
        <w:jc w:val="both"/>
        <w:rPr>
          <w:sz w:val="28"/>
          <w:szCs w:val="28"/>
        </w:rPr>
      </w:pPr>
      <w:r>
        <w:rPr>
          <w:sz w:val="28"/>
          <w:szCs w:val="28"/>
        </w:rPr>
        <w:t>c) Hỗ trợ thuê nhà: Hỗ trợ theo thực chi, tối đa 1.500.000 đồng/người/tháng khi đáp ứng điều kiện theo dự thảo Nghị quyết.</w:t>
      </w:r>
    </w:p>
    <w:p w14:paraId="712CBDC2">
      <w:pPr>
        <w:spacing w:before="120" w:after="120"/>
        <w:ind w:firstLine="709"/>
        <w:jc w:val="both"/>
        <w:rPr>
          <w:sz w:val="28"/>
          <w:szCs w:val="28"/>
        </w:rPr>
      </w:pPr>
      <w:r>
        <w:rPr>
          <w:sz w:val="28"/>
          <w:szCs w:val="28"/>
        </w:rPr>
        <w:t>d) Hỗ trợ một lần: Mức hỗ trợ 2.000.000 đồng/người khi đáp ứng điều kiện theo dự thảo Nghị quyết.</w:t>
      </w:r>
    </w:p>
    <w:p w14:paraId="5C78A8CC">
      <w:pPr>
        <w:spacing w:before="120" w:after="120"/>
        <w:ind w:firstLine="709"/>
        <w:jc w:val="both"/>
        <w:rPr>
          <w:sz w:val="28"/>
          <w:szCs w:val="28"/>
        </w:rPr>
      </w:pPr>
      <w:r>
        <w:rPr>
          <w:sz w:val="28"/>
          <w:szCs w:val="28"/>
        </w:rPr>
        <w:t>đ) Các nội dung khác: Quy định thời gian hưởng, hồ sơ, nguồn kinh phí, trách nhiệm tổ chức thực hiện và xử lý chuyển tiếp để bảo đảm việc chi trả thống nhất, đúng đối tượng, đúng điều kiện.</w:t>
      </w:r>
    </w:p>
    <w:p w14:paraId="1BF0748D">
      <w:pPr>
        <w:spacing w:before="120" w:after="120"/>
        <w:ind w:firstLine="709"/>
        <w:jc w:val="both"/>
        <w:rPr>
          <w:b/>
          <w:sz w:val="28"/>
          <w:szCs w:val="28"/>
        </w:rPr>
      </w:pPr>
      <w:r>
        <w:rPr>
          <w:b/>
          <w:sz w:val="28"/>
          <w:szCs w:val="28"/>
        </w:rPr>
        <w:t>V. NHỮNG NỘI DUNG BỔ SUNG MỚI SO VỚI DỰ THẢO VĂN BẢN GỬI THẨM ĐỊNH (NẾU CÓ)</w:t>
      </w:r>
    </w:p>
    <w:p w14:paraId="72B401E9">
      <w:pPr>
        <w:spacing w:before="120" w:after="120"/>
        <w:ind w:firstLine="709"/>
        <w:jc w:val="both"/>
        <w:rPr>
          <w:sz w:val="28"/>
          <w:szCs w:val="28"/>
        </w:rPr>
      </w:pPr>
      <w:r>
        <w:rPr>
          <w:b/>
          <w:sz w:val="28"/>
          <w:szCs w:val="28"/>
        </w:rPr>
        <w:t>VI. DỰ KIẾN NGUỒN LỰC, ĐIỀU KIỆN BẢO ĐẢM CHO VIỆC THI HÀNH VĂN BẢN VÀ THỜI GIAN TRÌNH THÔNG QUA/BAN HÀNH</w:t>
      </w:r>
    </w:p>
    <w:p w14:paraId="7EBA4CCA">
      <w:pPr>
        <w:keepNext/>
        <w:spacing w:before="120" w:after="120"/>
        <w:ind w:firstLine="709"/>
        <w:jc w:val="both"/>
        <w:rPr>
          <w:sz w:val="28"/>
          <w:szCs w:val="28"/>
        </w:rPr>
      </w:pPr>
      <w:r>
        <w:rPr>
          <w:b/>
          <w:sz w:val="28"/>
          <w:szCs w:val="28"/>
        </w:rPr>
        <w:t>1. Dự kiến nguồn lực</w:t>
      </w:r>
    </w:p>
    <w:p w14:paraId="4C20D90B">
      <w:pPr>
        <w:spacing w:before="120" w:after="120"/>
        <w:ind w:firstLine="709"/>
        <w:jc w:val="both"/>
        <w:rPr>
          <w:sz w:val="28"/>
          <w:szCs w:val="28"/>
        </w:rPr>
      </w:pPr>
      <w:r>
        <w:rPr>
          <w:sz w:val="28"/>
          <w:szCs w:val="28"/>
        </w:rPr>
        <w:t>Trên cơ sở kết quả rà soát, tổng hợp số liệu do Ban Tổ chức Tỉnh ủy, các cơ quan, đơn vị có liên quan cung cấp, từ ngày 01/7/2025 đến thời điểm báo cáo, toàn tỉnh có 464 lượt cán bộ, công chức, viên chức được luân chuyển, điều động, biệt phái, gồm: 32 trường hợp thuộc khối Đảng, Mặt trận Tổ quốc và các tổ chức chính trị - xã hội; 179 trường hợp cán bộ, công chức khối chính quyền và 253 trường hợp giáo viên. Đây là số liệu phục vụ khảo sát, xây dựng chính sách, chưa phải số đối tượng đủ điều kiện hưởng hỗ trợ theo dự thảo Nghị quyết.</w:t>
      </w:r>
    </w:p>
    <w:p w14:paraId="233357FC">
      <w:pPr>
        <w:spacing w:before="120" w:after="120"/>
        <w:ind w:firstLine="709"/>
        <w:jc w:val="both"/>
        <w:rPr>
          <w:sz w:val="28"/>
          <w:szCs w:val="28"/>
        </w:rPr>
      </w:pPr>
      <w:r>
        <w:rPr>
          <w:sz w:val="28"/>
          <w:szCs w:val="28"/>
        </w:rPr>
        <w:t>Số kinh phí thực tế phụ thuộc vào số lượng đối tượng đủ điều kiện hưởng, thời gian công tác, khoảng cách đi lại, điều kiện thuê nhà, các chế độ đã được hưởng và số đối tượng phát sinh trong từng năm.</w:t>
      </w:r>
    </w:p>
    <w:p w14:paraId="03C321FD">
      <w:pPr>
        <w:spacing w:before="120" w:after="120"/>
        <w:ind w:firstLine="709"/>
        <w:jc w:val="both"/>
        <w:rPr>
          <w:sz w:val="28"/>
          <w:szCs w:val="28"/>
        </w:rPr>
      </w:pPr>
      <w:r>
        <w:rPr>
          <w:sz w:val="28"/>
          <w:szCs w:val="28"/>
        </w:rPr>
        <w:t>Nguồn kinh phí thực hiện chính sách dự kiến do ngân sách địa phương bảo đảm theo phân cấp ngân sách hiện hành, được bố trí trong dự toán ngân sách nhà nước hằng năm theo quy định. Việc xác định cơ quan, đơn vị chịu trách nhiệm lập dự toán, quản lý và chi trả kinh phí thực hiện theo phân cấp ngân sách và trách nhiệm quản lý, sử dụng cán bộ, công chức, viên chức, bảo đảm không bố trí, thanh toán trùng lặp.</w:t>
      </w:r>
    </w:p>
    <w:p w14:paraId="6FFB864D">
      <w:pPr>
        <w:keepNext/>
        <w:spacing w:before="120" w:after="120"/>
        <w:ind w:firstLine="709"/>
        <w:jc w:val="both"/>
        <w:rPr>
          <w:sz w:val="28"/>
          <w:szCs w:val="28"/>
        </w:rPr>
      </w:pPr>
      <w:r>
        <w:rPr>
          <w:b/>
          <w:sz w:val="28"/>
          <w:szCs w:val="28"/>
        </w:rPr>
        <w:t>2. Điều kiện bảo đảm cho việc thi hành văn bản</w:t>
      </w:r>
    </w:p>
    <w:p w14:paraId="1F5C3C4C">
      <w:pPr>
        <w:spacing w:before="120" w:after="120"/>
        <w:ind w:firstLine="709"/>
        <w:jc w:val="both"/>
        <w:rPr>
          <w:sz w:val="28"/>
          <w:szCs w:val="28"/>
        </w:rPr>
      </w:pPr>
      <w:r>
        <w:rPr>
          <w:sz w:val="28"/>
          <w:szCs w:val="28"/>
        </w:rPr>
        <w:t>- Xác định rõ trách nhiệm của các cơ quan, tổ chức, đơn vị trong việc rà soát đối tượng, kiểm tra điều kiện hưởng, lập dự toán, bố trí kinh phí và tổ chức chi trả; bảo đảm hồ sơ đầy đủ, việc thanh toán đúng quy định và không trùng với các khoản hỗ trợ cùng nội dung.</w:t>
      </w:r>
    </w:p>
    <w:p w14:paraId="3082010F">
      <w:pPr>
        <w:spacing w:before="120" w:after="120"/>
        <w:ind w:firstLine="709"/>
        <w:jc w:val="both"/>
        <w:rPr>
          <w:spacing w:val="-2"/>
          <w:sz w:val="28"/>
          <w:szCs w:val="28"/>
        </w:rPr>
      </w:pPr>
      <w:r>
        <w:rPr>
          <w:spacing w:val="-2"/>
          <w:sz w:val="28"/>
          <w:szCs w:val="28"/>
        </w:rPr>
        <w:t>- Tổ chức phổ biến, hướng dẫn triển khai Nghị quyết; theo dõi, kiểm tra việc thực hiện và kịp thời tổng hợp, xử lý vướng mắc theo thẩm quyền. Việc tổ chức thực hiện sử dụng bộ máy hiện có, phù hợp với phân công, phân cấp quản lý.</w:t>
      </w:r>
    </w:p>
    <w:p w14:paraId="066F60F0">
      <w:pPr>
        <w:keepNext/>
        <w:spacing w:before="120" w:after="120"/>
        <w:ind w:firstLine="709"/>
        <w:jc w:val="both"/>
        <w:rPr>
          <w:sz w:val="28"/>
          <w:szCs w:val="28"/>
        </w:rPr>
      </w:pPr>
      <w:r>
        <w:rPr>
          <w:b/>
          <w:sz w:val="28"/>
          <w:szCs w:val="28"/>
        </w:rPr>
        <w:t>3. Thời gian trình thông qua, ban hành</w:t>
      </w:r>
    </w:p>
    <w:p w14:paraId="79E68B69">
      <w:pPr>
        <w:pBdr>
          <w:top w:val="dotted" w:color="FFFFFF" w:sz="4" w:space="0"/>
          <w:left w:val="dotted" w:color="FFFFFF" w:sz="4" w:space="0"/>
          <w:bottom w:val="dotted" w:color="FFFFFF" w:sz="4" w:space="4"/>
          <w:right w:val="dotted" w:color="FFFFFF" w:sz="4" w:space="0"/>
        </w:pBdr>
        <w:shd w:val="clear" w:color="auto" w:fill="FFFFFF"/>
        <w:spacing w:before="120" w:after="120"/>
        <w:ind w:firstLine="709"/>
        <w:jc w:val="both"/>
        <w:rPr>
          <w:sz w:val="28"/>
          <w:szCs w:val="28"/>
        </w:rPr>
      </w:pPr>
      <w:r>
        <w:rPr>
          <w:bCs/>
          <w:iCs/>
          <w:sz w:val="28"/>
          <w:szCs w:val="28"/>
        </w:rPr>
        <w:t xml:space="preserve">Dự thảo </w:t>
      </w:r>
      <w:r>
        <w:rPr>
          <w:sz w:val="28"/>
          <w:szCs w:val="28"/>
          <w:lang w:val="vi-VN"/>
        </w:rPr>
        <w:t xml:space="preserve">Nghị quyết của Hội đồng nhân dân tỉnh </w:t>
      </w:r>
      <w:r>
        <w:rPr>
          <w:sz w:val="28"/>
          <w:szCs w:val="28"/>
        </w:rPr>
        <w:t>quy định chính sách hỗ trợ cán bộ, công chức, viên chức được luân chuyển, điều động, biệt phái đến công tác tại cơ sở, địa bàn, vị trí cần tăng cường nhân lực trên địa bàn tỉnh Hà Tĩnh dự kiến trình Hội đồng nhân dân tỉnh xem xét, thông qua tại kỳ họp cuối năm 2026, bảo đảm tiến độ theo chương trình xây dựng nghị quyết của Hội đồng nhân dân tỉnh và quy định của pháp luật.</w:t>
      </w:r>
    </w:p>
    <w:p w14:paraId="1C7F2C24">
      <w:pPr>
        <w:keepLines/>
        <w:spacing w:before="120" w:after="120"/>
        <w:ind w:firstLine="709"/>
        <w:jc w:val="both"/>
        <w:rPr>
          <w:sz w:val="28"/>
          <w:szCs w:val="28"/>
        </w:rPr>
      </w:pPr>
      <w:r>
        <w:rPr>
          <w:sz w:val="28"/>
          <w:szCs w:val="28"/>
        </w:rPr>
        <w:t>Trên đây là Tờ trình về dự thảo Nghị quyết quy định chính sách hỗ trợ cán bộ, công chức, viên chức được luân chuyển, điều động, biệt phái đến công tác tại cơ sở, địa bàn, vị trí cần tăng cường nhân lực trên địa bàn tỉnh Hà Tĩnh, Ủy ban nhân dân tỉnh kính trình Hội đồng nhân dân tỉnh xem xét, quyết định./.</w:t>
      </w:r>
    </w:p>
    <w:p w14:paraId="55CD1142">
      <w:pPr>
        <w:spacing w:before="120" w:after="120"/>
        <w:ind w:firstLine="709"/>
        <w:jc w:val="both"/>
        <w:rPr>
          <w:rStyle w:val="17"/>
          <w:color w:val="auto"/>
          <w:sz w:val="28"/>
          <w:szCs w:val="28"/>
          <w:u w:val="none"/>
        </w:rPr>
      </w:pPr>
      <w:r>
        <w:rPr>
          <w:i/>
          <w:sz w:val="28"/>
          <w:szCs w:val="28"/>
        </w:rPr>
        <w:t>(Xin gửi kèm theo: Dự thảo Nghị quyết và các tài liệu trong hồ sơ trình theo quy định</w:t>
      </w:r>
      <w:bookmarkEnd w:id="0"/>
      <w:r>
        <w:rPr>
          <w:rStyle w:val="17"/>
          <w:bCs/>
          <w:i/>
          <w:color w:val="000000"/>
          <w:spacing w:val="-2"/>
          <w:sz w:val="28"/>
          <w:szCs w:val="28"/>
          <w:u w:val="none"/>
          <w:lang w:val="nl-NL"/>
        </w:rPr>
        <w:t>)./.</w:t>
      </w:r>
    </w:p>
    <w:tbl>
      <w:tblPr>
        <w:tblStyle w:val="8"/>
        <w:tblW w:w="9464" w:type="dxa"/>
        <w:jc w:val="center"/>
        <w:tblBorders>
          <w:top w:val="dotted" w:color="auto" w:sz="4" w:space="0"/>
          <w:left w:val="dotted" w:color="auto" w:sz="4" w:space="0"/>
          <w:bottom w:val="dotted" w:color="auto" w:sz="4" w:space="0"/>
          <w:right w:val="dotted" w:color="auto" w:sz="4" w:space="0"/>
          <w:insideH w:val="none" w:color="auto" w:sz="0" w:space="0"/>
          <w:insideV w:val="none" w:color="auto" w:sz="0" w:space="0"/>
        </w:tblBorders>
        <w:tblLayout w:type="autofit"/>
        <w:tblCellMar>
          <w:top w:w="0" w:type="dxa"/>
          <w:left w:w="108" w:type="dxa"/>
          <w:bottom w:w="0" w:type="dxa"/>
          <w:right w:w="108" w:type="dxa"/>
        </w:tblCellMar>
      </w:tblPr>
      <w:tblGrid>
        <w:gridCol w:w="4361"/>
        <w:gridCol w:w="5103"/>
      </w:tblGrid>
      <w:tr w14:paraId="51EAACE6">
        <w:tblPrEx>
          <w:tblBorders>
            <w:top w:val="dotted" w:color="auto" w:sz="4" w:space="0"/>
            <w:left w:val="dotted" w:color="auto" w:sz="4" w:space="0"/>
            <w:bottom w:val="dotted" w:color="auto" w:sz="4" w:space="0"/>
            <w:right w:val="dotted"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4361" w:type="dxa"/>
            <w:tcBorders>
              <w:top w:val="nil"/>
              <w:left w:val="nil"/>
              <w:bottom w:val="nil"/>
              <w:right w:val="nil"/>
            </w:tcBorders>
          </w:tcPr>
          <w:p w14:paraId="371BE2F3">
            <w:pPr>
              <w:jc w:val="both"/>
              <w:rPr>
                <w:b/>
                <w:i/>
                <w:color w:val="000000"/>
                <w:lang w:val="vi-VN"/>
              </w:rPr>
            </w:pPr>
            <w:r>
              <w:rPr>
                <w:b/>
                <w:i/>
                <w:color w:val="000000"/>
                <w:lang w:val="vi-VN"/>
              </w:rPr>
              <w:t xml:space="preserve">Nơi nhận: </w:t>
            </w:r>
          </w:p>
          <w:p w14:paraId="43DE532D">
            <w:pPr>
              <w:jc w:val="both"/>
              <w:rPr>
                <w:color w:val="000000"/>
                <w:sz w:val="22"/>
                <w:szCs w:val="22"/>
                <w:lang w:val="nl-NL"/>
              </w:rPr>
            </w:pPr>
            <w:r>
              <w:rPr>
                <w:color w:val="000000"/>
                <w:sz w:val="22"/>
                <w:szCs w:val="22"/>
                <w:lang w:val="vi-VN"/>
              </w:rPr>
              <w:t>- Như trên;</w:t>
            </w:r>
          </w:p>
          <w:p w14:paraId="4329C974">
            <w:pPr>
              <w:rPr>
                <w:color w:val="000000"/>
                <w:sz w:val="22"/>
                <w:szCs w:val="22"/>
                <w:lang w:val="nl-NL"/>
              </w:rPr>
            </w:pPr>
            <w:r>
              <w:rPr>
                <w:color w:val="000000"/>
                <w:sz w:val="22"/>
                <w:szCs w:val="22"/>
                <w:lang w:val="nl-NL"/>
              </w:rPr>
              <w:t>- TTr Tỉnh ủy; TTr HĐND tỉnh;</w:t>
            </w:r>
          </w:p>
          <w:p w14:paraId="35223465">
            <w:pPr>
              <w:rPr>
                <w:color w:val="000000"/>
                <w:sz w:val="22"/>
                <w:szCs w:val="22"/>
                <w:lang w:val="nl-NL"/>
              </w:rPr>
            </w:pPr>
            <w:r>
              <w:rPr>
                <w:color w:val="000000"/>
                <w:sz w:val="22"/>
                <w:szCs w:val="22"/>
                <w:lang w:val="nl-NL"/>
              </w:rPr>
              <w:t>- Chủ tịch, các PCT UBND tỉnh;</w:t>
            </w:r>
          </w:p>
          <w:p w14:paraId="7C40C494">
            <w:pPr>
              <w:rPr>
                <w:color w:val="000000"/>
                <w:sz w:val="22"/>
                <w:szCs w:val="22"/>
                <w:lang w:val="nl-NL"/>
              </w:rPr>
            </w:pPr>
            <w:r>
              <w:rPr>
                <w:color w:val="000000"/>
                <w:sz w:val="22"/>
                <w:szCs w:val="22"/>
                <w:lang w:val="nl-NL"/>
              </w:rPr>
              <w:t>- Đại biểu HĐND tỉnh;</w:t>
            </w:r>
          </w:p>
          <w:p w14:paraId="5BC26351">
            <w:pPr>
              <w:rPr>
                <w:color w:val="000000"/>
                <w:sz w:val="22"/>
                <w:szCs w:val="22"/>
                <w:lang w:val="vi-VN"/>
              </w:rPr>
            </w:pPr>
            <w:r>
              <w:rPr>
                <w:color w:val="000000"/>
                <w:sz w:val="22"/>
                <w:szCs w:val="22"/>
                <w:lang w:val="vi-VN"/>
              </w:rPr>
              <w:t>- Ban Tổ chức T</w:t>
            </w:r>
            <w:r>
              <w:rPr>
                <w:color w:val="000000"/>
                <w:sz w:val="22"/>
                <w:szCs w:val="22"/>
              </w:rPr>
              <w:t>ỉnh</w:t>
            </w:r>
            <w:r>
              <w:rPr>
                <w:color w:val="000000"/>
                <w:sz w:val="22"/>
                <w:szCs w:val="22"/>
                <w:lang w:val="vi-VN"/>
              </w:rPr>
              <w:t xml:space="preserve"> ủy;</w:t>
            </w:r>
          </w:p>
          <w:p w14:paraId="4B68F683">
            <w:pPr>
              <w:rPr>
                <w:color w:val="000000"/>
                <w:sz w:val="22"/>
                <w:szCs w:val="22"/>
              </w:rPr>
            </w:pPr>
            <w:r>
              <w:rPr>
                <w:color w:val="000000"/>
                <w:sz w:val="22"/>
                <w:szCs w:val="22"/>
              </w:rPr>
              <w:t>- Các Ban HĐND tỉnh;</w:t>
            </w:r>
          </w:p>
          <w:p w14:paraId="14C5E280">
            <w:pPr>
              <w:rPr>
                <w:color w:val="000000"/>
                <w:sz w:val="22"/>
                <w:szCs w:val="22"/>
                <w:lang w:val="nl-NL"/>
              </w:rPr>
            </w:pPr>
            <w:r>
              <w:rPr>
                <w:color w:val="000000"/>
                <w:sz w:val="22"/>
                <w:szCs w:val="22"/>
                <w:lang w:val="nl-NL"/>
              </w:rPr>
              <w:t>- VP Đoàn ĐBQH&amp;HĐND tỉnh;</w:t>
            </w:r>
          </w:p>
          <w:p w14:paraId="068EF2FD">
            <w:pPr>
              <w:rPr>
                <w:color w:val="000000"/>
                <w:sz w:val="22"/>
                <w:szCs w:val="22"/>
                <w:lang w:val="vi-VN"/>
              </w:rPr>
            </w:pPr>
            <w:r>
              <w:rPr>
                <w:color w:val="000000"/>
                <w:sz w:val="22"/>
                <w:szCs w:val="22"/>
              </w:rPr>
              <w:t>- Các Sở: Nội vụ, Tài chính, Tư pháp,</w:t>
            </w:r>
          </w:p>
          <w:p w14:paraId="350C8703">
            <w:pPr>
              <w:rPr>
                <w:color w:val="000000"/>
                <w:sz w:val="22"/>
                <w:szCs w:val="22"/>
              </w:rPr>
            </w:pPr>
            <w:r>
              <w:rPr>
                <w:color w:val="000000"/>
                <w:sz w:val="22"/>
                <w:szCs w:val="22"/>
                <w:lang w:val="vi-VN"/>
              </w:rPr>
              <w:t xml:space="preserve">  </w:t>
            </w:r>
            <w:r>
              <w:rPr>
                <w:color w:val="000000"/>
                <w:sz w:val="22"/>
                <w:szCs w:val="22"/>
              </w:rPr>
              <w:t>KH và CN;</w:t>
            </w:r>
          </w:p>
          <w:p w14:paraId="3CA45349">
            <w:pPr>
              <w:rPr>
                <w:color w:val="000000"/>
                <w:sz w:val="22"/>
                <w:szCs w:val="22"/>
              </w:rPr>
            </w:pPr>
            <w:r>
              <w:rPr>
                <w:color w:val="000000"/>
                <w:sz w:val="22"/>
                <w:szCs w:val="22"/>
              </w:rPr>
              <w:t>- Văn phòng UBND tỉnh;</w:t>
            </w:r>
          </w:p>
          <w:p w14:paraId="071BDF28">
            <w:pPr>
              <w:jc w:val="both"/>
              <w:rPr>
                <w:color w:val="000000"/>
                <w:sz w:val="22"/>
                <w:szCs w:val="22"/>
              </w:rPr>
            </w:pPr>
            <w:r>
              <w:rPr>
                <w:color w:val="000000"/>
                <w:sz w:val="22"/>
                <w:szCs w:val="22"/>
                <w:lang w:val="vi-VN"/>
              </w:rPr>
              <w:t>- Lưu: VT</w:t>
            </w:r>
            <w:r>
              <w:rPr>
                <w:color w:val="000000"/>
                <w:sz w:val="22"/>
                <w:szCs w:val="22"/>
              </w:rPr>
              <w:t>.</w:t>
            </w:r>
          </w:p>
          <w:p w14:paraId="534CA785">
            <w:pPr>
              <w:jc w:val="both"/>
              <w:rPr>
                <w:color w:val="000000"/>
                <w:sz w:val="22"/>
                <w:szCs w:val="22"/>
              </w:rPr>
            </w:pPr>
          </w:p>
        </w:tc>
        <w:tc>
          <w:tcPr>
            <w:tcW w:w="5103" w:type="dxa"/>
            <w:tcBorders>
              <w:top w:val="nil"/>
              <w:left w:val="nil"/>
              <w:bottom w:val="nil"/>
              <w:right w:val="nil"/>
            </w:tcBorders>
          </w:tcPr>
          <w:p w14:paraId="3EC376AD">
            <w:pPr>
              <w:jc w:val="center"/>
              <w:rPr>
                <w:b/>
                <w:color w:val="000000"/>
                <w:sz w:val="26"/>
                <w:szCs w:val="28"/>
              </w:rPr>
            </w:pPr>
            <w:r>
              <w:rPr>
                <w:b/>
                <w:color w:val="000000"/>
                <w:sz w:val="26"/>
                <w:szCs w:val="28"/>
              </w:rPr>
              <w:t>TM. ỦY BAN NHÂN DÂN</w:t>
            </w:r>
          </w:p>
          <w:p w14:paraId="6BACB11F">
            <w:pPr>
              <w:jc w:val="center"/>
              <w:rPr>
                <w:b/>
                <w:color w:val="000000"/>
                <w:sz w:val="26"/>
                <w:szCs w:val="28"/>
              </w:rPr>
            </w:pPr>
            <w:r>
              <w:rPr>
                <w:b/>
                <w:color w:val="000000"/>
                <w:sz w:val="26"/>
                <w:szCs w:val="28"/>
              </w:rPr>
              <w:t>KT. CHỦ TỊCH</w:t>
            </w:r>
          </w:p>
          <w:p w14:paraId="5B13F024">
            <w:pPr>
              <w:jc w:val="center"/>
              <w:rPr>
                <w:b/>
                <w:color w:val="000000"/>
                <w:sz w:val="26"/>
                <w:szCs w:val="28"/>
              </w:rPr>
            </w:pPr>
            <w:r>
              <w:rPr>
                <w:b/>
                <w:color w:val="000000"/>
                <w:sz w:val="26"/>
                <w:szCs w:val="28"/>
              </w:rPr>
              <w:t>PHÓ CHỦ TỊCH</w:t>
            </w:r>
          </w:p>
          <w:p w14:paraId="26F074EA">
            <w:pPr>
              <w:jc w:val="center"/>
              <w:rPr>
                <w:b/>
                <w:color w:val="000000"/>
                <w:sz w:val="28"/>
                <w:szCs w:val="28"/>
              </w:rPr>
            </w:pPr>
          </w:p>
          <w:p w14:paraId="71C1F4B2">
            <w:pPr>
              <w:jc w:val="center"/>
              <w:rPr>
                <w:b/>
                <w:color w:val="000000"/>
                <w:sz w:val="28"/>
                <w:szCs w:val="28"/>
              </w:rPr>
            </w:pPr>
          </w:p>
          <w:p w14:paraId="38D539A4">
            <w:pPr>
              <w:jc w:val="center"/>
              <w:rPr>
                <w:b/>
                <w:color w:val="000000"/>
                <w:sz w:val="28"/>
                <w:szCs w:val="28"/>
              </w:rPr>
            </w:pPr>
          </w:p>
          <w:p w14:paraId="67110E7C">
            <w:pPr>
              <w:jc w:val="center"/>
              <w:rPr>
                <w:b/>
                <w:color w:val="000000"/>
                <w:sz w:val="28"/>
                <w:szCs w:val="28"/>
              </w:rPr>
            </w:pPr>
          </w:p>
          <w:p w14:paraId="146596F2">
            <w:pPr>
              <w:jc w:val="center"/>
              <w:rPr>
                <w:b/>
                <w:color w:val="000000"/>
                <w:sz w:val="28"/>
                <w:szCs w:val="28"/>
              </w:rPr>
            </w:pPr>
          </w:p>
          <w:p w14:paraId="185C8AF9">
            <w:pPr>
              <w:jc w:val="center"/>
              <w:rPr>
                <w:b/>
                <w:color w:val="000000"/>
                <w:sz w:val="28"/>
                <w:szCs w:val="28"/>
              </w:rPr>
            </w:pPr>
          </w:p>
          <w:p w14:paraId="314C29C1">
            <w:pPr>
              <w:jc w:val="center"/>
              <w:rPr>
                <w:b/>
                <w:color w:val="000000"/>
                <w:sz w:val="28"/>
                <w:szCs w:val="28"/>
                <w:lang w:val="vi-VN"/>
              </w:rPr>
            </w:pPr>
            <w:r>
              <w:rPr>
                <w:b/>
                <w:color w:val="000000"/>
                <w:sz w:val="28"/>
                <w:szCs w:val="28"/>
              </w:rPr>
              <w:t>Nguyễn Trọng Hiếu</w:t>
            </w:r>
          </w:p>
        </w:tc>
      </w:tr>
    </w:tbl>
    <w:p w14:paraId="32F7E0F3">
      <w:pPr>
        <w:spacing w:before="160" w:line="264" w:lineRule="auto"/>
        <w:jc w:val="both"/>
        <w:rPr>
          <w:rStyle w:val="17"/>
          <w:bCs/>
          <w:iCs/>
          <w:color w:val="000000"/>
          <w:sz w:val="28"/>
          <w:szCs w:val="28"/>
          <w:u w:val="none"/>
        </w:rPr>
      </w:pPr>
    </w:p>
    <w:p w14:paraId="6A7DAB9B">
      <w:pPr>
        <w:rPr>
          <w:rStyle w:val="17"/>
          <w:color w:val="auto"/>
          <w:u w:val="none"/>
        </w:rPr>
      </w:pPr>
    </w:p>
    <w:p w14:paraId="730A075F">
      <w:pPr>
        <w:rPr>
          <w:rStyle w:val="17"/>
          <w:color w:val="auto"/>
          <w:u w:val="none"/>
        </w:rPr>
      </w:pPr>
    </w:p>
    <w:sectPr>
      <w:headerReference r:id="rId4" w:type="default"/>
      <w:pgSz w:w="11907" w:h="16840"/>
      <w:pgMar w:top="1134" w:right="964" w:bottom="1077" w:left="1644" w:header="720" w:footer="465"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Light">
    <w:panose1 w:val="020F0302020204030204"/>
    <w:charset w:val="00"/>
    <w:family w:val="swiss"/>
    <w:pitch w:val="default"/>
    <w:sig w:usb0="E4002EFF" w:usb1="C200247B" w:usb2="00000009" w:usb3="00000000" w:csb0="200001FF" w:csb1="00000000"/>
  </w:font>
  <w:font w:name="VNI-Times">
    <w:altName w:val="Segoe Print"/>
    <w:panose1 w:val="00000000000000000000"/>
    <w:charset w:val="00"/>
    <w:family w:val="auto"/>
    <w:pitch w:val="default"/>
    <w:sig w:usb0="00000000" w:usb1="00000000" w:usb2="00000000" w:usb3="00000000" w:csb0="00000013" w:csb1="00000000"/>
  </w:font>
  <w:font w:name="Tahoma">
    <w:panose1 w:val="020B0604030504040204"/>
    <w:charset w:val="00"/>
    <w:family w:val="swiss"/>
    <w:pitch w:val="default"/>
    <w:sig w:usb0="E1002EFF" w:usb1="C000605B" w:usb2="00000029" w:usb3="00000000" w:csb0="200101FF" w:csb1="20280000"/>
  </w:font>
  <w:font w:name="Yu Mincho">
    <w:altName w:val="Yu Gothic"/>
    <w:panose1 w:val="00000000000000000000"/>
    <w:charset w:val="80"/>
    <w:family w:val="roman"/>
    <w:pitch w:val="default"/>
    <w:sig w:usb0="00000000" w:usb1="00000000" w:usb2="00000012" w:usb3="00000000" w:csb0="0002009F" w:csb1="00000000"/>
  </w:font>
  <w:font w:name="游明朝">
    <w:altName w:val="Segoe Print"/>
    <w:panose1 w:val="00000000000000000000"/>
    <w:charset w:val="00"/>
    <w:family w:val="auto"/>
    <w:pitch w:val="default"/>
    <w:sig w:usb0="00000000" w:usb1="00000000" w:usb2="00000000" w:usb3="00000000" w:csb0="00000000" w:csb1="00000000"/>
  </w:font>
  <w:font w:name="TimesNewRomanPSMT">
    <w:altName w:val="Times New Roman"/>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15A3E706">
      <w:pPr>
        <w:spacing w:after="60"/>
        <w:ind w:firstLine="720"/>
        <w:jc w:val="both"/>
        <w:rPr>
          <w:sz w:val="20"/>
          <w:szCs w:val="20"/>
        </w:rPr>
      </w:pPr>
      <w:r>
        <w:rPr>
          <w:rStyle w:val="13"/>
          <w:sz w:val="20"/>
          <w:szCs w:val="20"/>
        </w:rPr>
        <w:footnoteRef/>
      </w:r>
      <w:r>
        <w:rPr>
          <w:sz w:val="20"/>
          <w:szCs w:val="20"/>
        </w:rPr>
        <w:t xml:space="preserve"> Tại Thông báo số 183-TB/TU ngày 18/9/2026, Thường trực Tỉnh ủy đã có ý kiến về việc nghiên cứu, xây dựng chính sách hỗ trợ đối với người được luân chuyển, điều động, biệt phái theo hướng xây dựng chính sách riêng, tổng thể, bảo đảm công bằng giữa các đối tượng.</w:t>
      </w:r>
    </w:p>
    <w:p w14:paraId="4BE286AE">
      <w:pPr>
        <w:spacing w:after="60"/>
        <w:ind w:firstLine="720"/>
        <w:jc w:val="both"/>
        <w:rPr>
          <w:sz w:val="20"/>
          <w:szCs w:val="20"/>
        </w:rPr>
      </w:pPr>
      <w:r>
        <w:rPr>
          <w:sz w:val="20"/>
          <w:szCs w:val="20"/>
        </w:rPr>
        <w:t>Hiện nay, Ban Thường vụ Tỉnh ủy ban hành Văn bản số 750-CV/TU ngày 09/10/2026 về rà soát, sắp xếp, điều động, biệt phái cán bộ, công chức, viên chức, kiện toàn đội ngũ cán bộ cấp xã; UBND tỉnh ban hành Văn bản số 10399/UBND-NC2 ngày 12/10/2026 chỉ đạo triển khai thực hiện. Đây là những nhiệm vụ trực tiếp đặt ra yêu cầu rà soát, điều hòa, bổ sung nhân lực giữa các cơ quan, đơn vị, địa phương, nhất là tại những nơi còn thiếu nhân lực hoặc thiếu nhân lực có chuyên môn phù hợp.</w:t>
      </w:r>
    </w:p>
    <w:p w14:paraId="4C558F36">
      <w:pPr>
        <w:pStyle w:val="15"/>
      </w:pPr>
    </w:p>
  </w:footnote>
  <w:footnote w:id="1">
    <w:p w14:paraId="0963E7D5">
      <w:pPr>
        <w:pStyle w:val="18"/>
        <w:spacing w:before="0" w:beforeAutospacing="0" w:after="0" w:afterAutospacing="0" w:line="240" w:lineRule="auto"/>
        <w:ind w:firstLine="720"/>
        <w:jc w:val="both"/>
      </w:pPr>
      <w:r>
        <w:rPr>
          <w:rStyle w:val="13"/>
        </w:rPr>
        <w:footnoteRef/>
      </w:r>
      <w:r>
        <w:t xml:space="preserve"> </w:t>
      </w:r>
      <w:r>
        <w:rPr>
          <w:rFonts w:eastAsia="Times New Roman"/>
          <w:bCs/>
        </w:rPr>
        <w:t xml:space="preserve">Về việc xác định đối tượng hỗ trợ: </w:t>
      </w:r>
      <w:r>
        <w:t>Dự thảo Nghị quyết xác định đối tượng hỗ trợ bao gồm cả cán bộ được luân chuyển và công chức, viên chức được điều động, biệt phái theo yêu cầu nhiệm vụ. Mặc dù mục đích, tính chất và chế độ đối với từng nhóm đối tượng có sự khác nhau, nhưng khi được bố trí đến công tác xa nơi cư trú, các đối tượng đều có thể phát sinh khó khăn về đi lại, chỗ ở và ổn định sinh hoạt.</w:t>
      </w:r>
    </w:p>
    <w:p w14:paraId="58C1885B">
      <w:pPr>
        <w:jc w:val="both"/>
        <w:rPr>
          <w:sz w:val="20"/>
          <w:szCs w:val="20"/>
        </w:rPr>
      </w:pPr>
      <w:r>
        <w:rPr>
          <w:sz w:val="20"/>
          <w:szCs w:val="20"/>
        </w:rPr>
        <w:t>Đối với cán bộ giữ chức vụ lãnh đạo, quản lý, các chế độ phụ cấp chức vụ và điều kiện phục vụ công tác được thực hiện theo quy định riêng, không đồng nghĩa với việc đã được bảo đảm đầy đủ các chi phí phát sinh do thay đổi địa điểm làm việc. Vì vậy, dự thảo Nghị quyết đề xuất áp dụng thống nhất nội dung, mức hỗ trợ đối với các đối tượng có điều kiện tương đồng, không phân biệt chức vụ lãnh đạo, quản lý hoặc hình thức luân chuyển, điều động, biệt phái.</w:t>
      </w:r>
    </w:p>
    <w:p w14:paraId="1398EAD2">
      <w:pPr>
        <w:ind w:firstLine="720"/>
        <w:jc w:val="both"/>
        <w:rPr>
          <w:sz w:val="20"/>
          <w:szCs w:val="20"/>
        </w:rPr>
      </w:pPr>
      <w:r>
        <w:rPr>
          <w:sz w:val="20"/>
          <w:szCs w:val="20"/>
        </w:rPr>
        <w:t>Việc hỗ trợ được xác định trên cơ sở yêu cầu nhiệm vụ, khoảng cách từ nơi thường trú đến địa điểm công tác mới, điều kiện đi lại, chỗ ở và các tiêu chí cụ thể; đồng thời không hỗ trợ trùng đối với những khoản chi đã được bảo đảm theo chế độ, chính sách khác. Quy định này nhằm bảo đảm công bằng, đúng đối tượng, phù hợp với mục đích hỗ trợ và khả năng cân đối ngân sách địa phương.</w:t>
      </w:r>
    </w:p>
  </w:footnote>
  <w:footnote w:id="2">
    <w:p w14:paraId="6C753302">
      <w:pPr>
        <w:pStyle w:val="15"/>
        <w:jc w:val="both"/>
      </w:pPr>
      <w:r>
        <w:rPr>
          <w:rStyle w:val="13"/>
        </w:rPr>
        <w:footnoteRef/>
      </w:r>
      <w:r>
        <w:t xml:space="preserve"> </w:t>
      </w:r>
      <w:r>
        <w:rPr>
          <w:shd w:val="clear" w:color="auto" w:fill="FFFFFF"/>
        </w:rPr>
        <w:t>Cơ sở đề xuất ba nội dung hỗ trợ: (i) hỗ trợ đi lại hằng tháng nhằm chia sẻ chi phí đi, về thường xuyên khi địa điểm công tác thay đổi; (ii) hỗ trợ thuê nhà hằng tháng nhằm giảm khó khăn cho người phải thuê chỗ ở gần nơi công tác và không thể đi, về thuận lợi; (iii) hỗ trợ một lần nhằm góp phần trang trải chi phí ổn định sinh hoạt ban đầu khi nhận nhiệm vụ. Ba khoản có mục đích, điều kiện khác nhau; cần quy định rõ điều kiện cộng hưởng, chứng cứ xác định và cơ chế kiểm soát không thanh toán trùng khoản chi cùng nội dung.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044DC">
    <w:pPr>
      <w:pStyle w:val="16"/>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p w14:paraId="3AEEA36F">
    <w:pPr>
      <w:pStyle w:val="1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displayVerticalDrawingGridEvery w:val="2"/>
  <w:noPunctuationKerning w:val="1"/>
  <w:characterSpacingControl w:val="doNotCompress"/>
  <w:footnotePr>
    <w:footnote w:id="6"/>
    <w:footnote w:id="7"/>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2DE"/>
    <w:rsid w:val="00054CB4"/>
    <w:rsid w:val="000A4E42"/>
    <w:rsid w:val="000D4B99"/>
    <w:rsid w:val="000E2A66"/>
    <w:rsid w:val="000F7B86"/>
    <w:rsid w:val="00153DC9"/>
    <w:rsid w:val="001878E0"/>
    <w:rsid w:val="001923F0"/>
    <w:rsid w:val="00203B32"/>
    <w:rsid w:val="002311A7"/>
    <w:rsid w:val="002C4B11"/>
    <w:rsid w:val="00305FB3"/>
    <w:rsid w:val="00355BED"/>
    <w:rsid w:val="003C396E"/>
    <w:rsid w:val="00461327"/>
    <w:rsid w:val="00475EB8"/>
    <w:rsid w:val="00562535"/>
    <w:rsid w:val="00571F87"/>
    <w:rsid w:val="00572712"/>
    <w:rsid w:val="006562DE"/>
    <w:rsid w:val="00693DC7"/>
    <w:rsid w:val="006A3E1A"/>
    <w:rsid w:val="006C7904"/>
    <w:rsid w:val="006F4B11"/>
    <w:rsid w:val="007008D2"/>
    <w:rsid w:val="00732D91"/>
    <w:rsid w:val="007576A0"/>
    <w:rsid w:val="00776CDE"/>
    <w:rsid w:val="00781A54"/>
    <w:rsid w:val="007C53D9"/>
    <w:rsid w:val="0080172C"/>
    <w:rsid w:val="00812935"/>
    <w:rsid w:val="00862959"/>
    <w:rsid w:val="00884EF8"/>
    <w:rsid w:val="008B717C"/>
    <w:rsid w:val="009467A2"/>
    <w:rsid w:val="00994722"/>
    <w:rsid w:val="009A1641"/>
    <w:rsid w:val="00A20D13"/>
    <w:rsid w:val="00A651CA"/>
    <w:rsid w:val="00AB413D"/>
    <w:rsid w:val="00B42779"/>
    <w:rsid w:val="00B923B5"/>
    <w:rsid w:val="00C84EA3"/>
    <w:rsid w:val="00C860CC"/>
    <w:rsid w:val="00CA0B82"/>
    <w:rsid w:val="00D14EB2"/>
    <w:rsid w:val="00D35924"/>
    <w:rsid w:val="00D85836"/>
    <w:rsid w:val="00E05EB9"/>
    <w:rsid w:val="00E472F2"/>
    <w:rsid w:val="00ED4B9F"/>
    <w:rsid w:val="00EF5118"/>
    <w:rsid w:val="00F0331C"/>
    <w:rsid w:val="00F13074"/>
    <w:rsid w:val="00F407A9"/>
    <w:rsid w:val="00F5263E"/>
    <w:rsid w:val="00F647A0"/>
    <w:rsid w:val="00F954CE"/>
    <w:rsid w:val="00FD614D"/>
    <w:rsid w:val="00FF5FE8"/>
    <w:rsid w:val="7FF03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link w:val="29"/>
    <w:qFormat/>
    <w:uiPriority w:val="9"/>
    <w:pPr>
      <w:keepNext/>
      <w:spacing w:before="240" w:after="60"/>
      <w:outlineLvl w:val="0"/>
    </w:pPr>
    <w:rPr>
      <w:rFonts w:ascii="Calibri Light" w:hAnsi="Calibri Light"/>
      <w:b/>
      <w:bCs/>
      <w:kern w:val="32"/>
      <w:sz w:val="32"/>
      <w:szCs w:val="32"/>
    </w:rPr>
  </w:style>
  <w:style w:type="paragraph" w:styleId="3">
    <w:name w:val="heading 2"/>
    <w:basedOn w:val="1"/>
    <w:next w:val="1"/>
    <w:link w:val="31"/>
    <w:qFormat/>
    <w:uiPriority w:val="0"/>
    <w:pPr>
      <w:keepNext/>
      <w:outlineLvl w:val="1"/>
    </w:pPr>
    <w:rPr>
      <w:rFonts w:ascii="VNI-Times" w:hAnsi="VNI-Times"/>
      <w:b/>
      <w:szCs w:val="20"/>
    </w:rPr>
  </w:style>
  <w:style w:type="paragraph" w:styleId="4">
    <w:name w:val="heading 3"/>
    <w:basedOn w:val="1"/>
    <w:next w:val="1"/>
    <w:link w:val="23"/>
    <w:qFormat/>
    <w:uiPriority w:val="0"/>
    <w:pPr>
      <w:keepNext/>
      <w:spacing w:before="240" w:after="60"/>
      <w:outlineLvl w:val="2"/>
    </w:pPr>
    <w:rPr>
      <w:rFonts w:ascii="Arial" w:hAnsi="Arial"/>
      <w:b/>
      <w:bCs/>
      <w:sz w:val="26"/>
      <w:szCs w:val="26"/>
      <w:lang w:val="zh-CN" w:eastAsia="zh-CN"/>
    </w:rPr>
  </w:style>
  <w:style w:type="paragraph" w:styleId="5">
    <w:name w:val="heading 4"/>
    <w:basedOn w:val="1"/>
    <w:next w:val="1"/>
    <w:link w:val="24"/>
    <w:qFormat/>
    <w:uiPriority w:val="9"/>
    <w:pPr>
      <w:keepNext/>
      <w:spacing w:before="240" w:after="60"/>
      <w:outlineLvl w:val="3"/>
    </w:pPr>
    <w:rPr>
      <w:b/>
      <w:bCs/>
      <w:sz w:val="28"/>
      <w:szCs w:val="28"/>
      <w:lang w:val="zh-CN" w:eastAsia="zh-CN"/>
    </w:rPr>
  </w:style>
  <w:style w:type="paragraph" w:styleId="6">
    <w:name w:val="heading 9"/>
    <w:basedOn w:val="1"/>
    <w:next w:val="1"/>
    <w:link w:val="25"/>
    <w:qFormat/>
    <w:uiPriority w:val="0"/>
    <w:pPr>
      <w:spacing w:before="240" w:after="60"/>
      <w:outlineLvl w:val="8"/>
    </w:pPr>
    <w:rPr>
      <w:rFonts w:ascii="Arial" w:hAnsi="Arial"/>
      <w:sz w:val="22"/>
      <w:szCs w:val="22"/>
      <w:lang w:val="zh-CN" w:eastAsia="zh-CN"/>
    </w:rPr>
  </w:style>
  <w:style w:type="character" w:default="1" w:styleId="7">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alloon Text"/>
    <w:basedOn w:val="1"/>
    <w:semiHidden/>
    <w:qFormat/>
    <w:uiPriority w:val="0"/>
    <w:rPr>
      <w:rFonts w:ascii="Tahoma" w:hAnsi="Tahoma" w:cs="Tahoma"/>
      <w:sz w:val="16"/>
      <w:szCs w:val="16"/>
    </w:rPr>
  </w:style>
  <w:style w:type="paragraph" w:styleId="10">
    <w:name w:val="Body Text Indent"/>
    <w:basedOn w:val="1"/>
    <w:link w:val="22"/>
    <w:qFormat/>
    <w:uiPriority w:val="0"/>
    <w:pPr>
      <w:spacing w:before="100" w:beforeAutospacing="1" w:after="100" w:afterAutospacing="1"/>
    </w:pPr>
    <w:rPr>
      <w:lang w:val="zh-CN" w:eastAsia="zh-CN"/>
    </w:rPr>
  </w:style>
  <w:style w:type="character" w:styleId="11">
    <w:name w:val="Emphasis"/>
    <w:qFormat/>
    <w:uiPriority w:val="0"/>
    <w:rPr>
      <w:i/>
      <w:iCs/>
    </w:rPr>
  </w:style>
  <w:style w:type="paragraph" w:styleId="12">
    <w:name w:val="footer"/>
    <w:basedOn w:val="1"/>
    <w:qFormat/>
    <w:uiPriority w:val="0"/>
    <w:pPr>
      <w:tabs>
        <w:tab w:val="center" w:pos="4320"/>
        <w:tab w:val="right" w:pos="8640"/>
      </w:tabs>
    </w:pPr>
  </w:style>
  <w:style w:type="character" w:styleId="13">
    <w:name w:val="footnote reference"/>
    <w:link w:val="14"/>
    <w:qFormat/>
    <w:uiPriority w:val="0"/>
    <w:rPr>
      <w:vertAlign w:val="superscript"/>
    </w:rPr>
  </w:style>
  <w:style w:type="paragraph" w:customStyle="1" w:styleId="14">
    <w:name w:val="BVI fnr Car Car"/>
    <w:basedOn w:val="1"/>
    <w:link w:val="13"/>
    <w:qFormat/>
    <w:uiPriority w:val="0"/>
    <w:pPr>
      <w:spacing w:after="160" w:line="240" w:lineRule="exact"/>
    </w:pPr>
    <w:rPr>
      <w:sz w:val="20"/>
      <w:szCs w:val="20"/>
      <w:vertAlign w:val="superscript"/>
    </w:rPr>
  </w:style>
  <w:style w:type="paragraph" w:styleId="15">
    <w:name w:val="footnote text"/>
    <w:basedOn w:val="1"/>
    <w:link w:val="26"/>
    <w:qFormat/>
    <w:uiPriority w:val="0"/>
    <w:rPr>
      <w:sz w:val="20"/>
      <w:szCs w:val="20"/>
    </w:rPr>
  </w:style>
  <w:style w:type="paragraph" w:styleId="16">
    <w:name w:val="header"/>
    <w:basedOn w:val="1"/>
    <w:link w:val="28"/>
    <w:qFormat/>
    <w:uiPriority w:val="99"/>
    <w:pPr>
      <w:tabs>
        <w:tab w:val="center" w:pos="4320"/>
        <w:tab w:val="right" w:pos="8640"/>
      </w:tabs>
    </w:pPr>
    <w:rPr>
      <w:rFonts w:ascii="VNI-Times" w:hAnsi="VNI-Times"/>
      <w:sz w:val="26"/>
      <w:szCs w:val="20"/>
    </w:rPr>
  </w:style>
  <w:style w:type="character" w:styleId="17">
    <w:name w:val="Hyperlink"/>
    <w:unhideWhenUsed/>
    <w:uiPriority w:val="99"/>
    <w:rPr>
      <w:color w:val="0000FF"/>
      <w:u w:val="single"/>
    </w:rPr>
  </w:style>
  <w:style w:type="paragraph" w:styleId="18">
    <w:name w:val="Normal (Web)"/>
    <w:basedOn w:val="1"/>
    <w:link w:val="27"/>
    <w:unhideWhenUsed/>
    <w:qFormat/>
    <w:uiPriority w:val="99"/>
    <w:pPr>
      <w:spacing w:before="100" w:beforeAutospacing="1" w:after="100" w:afterAutospacing="1" w:line="264" w:lineRule="auto"/>
    </w:pPr>
    <w:rPr>
      <w:rFonts w:eastAsia="Yu Mincho"/>
      <w:sz w:val="20"/>
      <w:szCs w:val="20"/>
    </w:rPr>
  </w:style>
  <w:style w:type="character" w:styleId="19">
    <w:name w:val="Strong"/>
    <w:basedOn w:val="7"/>
    <w:qFormat/>
    <w:uiPriority w:val="22"/>
    <w:rPr>
      <w:b/>
      <w:bCs/>
    </w:rPr>
  </w:style>
  <w:style w:type="table" w:styleId="20">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Default Paragraph Font Para Char Char Char Char Char"/>
    <w:autoRedefine/>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22">
    <w:name w:val="Body Text Indent Char"/>
    <w:link w:val="10"/>
    <w:qFormat/>
    <w:uiPriority w:val="0"/>
    <w:rPr>
      <w:sz w:val="24"/>
      <w:szCs w:val="24"/>
    </w:rPr>
  </w:style>
  <w:style w:type="character" w:customStyle="1" w:styleId="23">
    <w:name w:val="Heading 3 Char"/>
    <w:link w:val="4"/>
    <w:qFormat/>
    <w:uiPriority w:val="0"/>
    <w:rPr>
      <w:rFonts w:ascii="Arial" w:hAnsi="Arial" w:cs="Arial"/>
      <w:b/>
      <w:bCs/>
      <w:sz w:val="26"/>
      <w:szCs w:val="26"/>
    </w:rPr>
  </w:style>
  <w:style w:type="character" w:customStyle="1" w:styleId="24">
    <w:name w:val="Heading 4 Char"/>
    <w:link w:val="5"/>
    <w:uiPriority w:val="9"/>
    <w:rPr>
      <w:b/>
      <w:bCs/>
      <w:sz w:val="28"/>
      <w:szCs w:val="28"/>
    </w:rPr>
  </w:style>
  <w:style w:type="character" w:customStyle="1" w:styleId="25">
    <w:name w:val="Heading 9 Char"/>
    <w:link w:val="6"/>
    <w:qFormat/>
    <w:uiPriority w:val="0"/>
    <w:rPr>
      <w:rFonts w:ascii="Arial" w:hAnsi="Arial" w:cs="Arial"/>
      <w:sz w:val="22"/>
      <w:szCs w:val="22"/>
    </w:rPr>
  </w:style>
  <w:style w:type="character" w:customStyle="1" w:styleId="26">
    <w:name w:val="Footnote Text Char"/>
    <w:basedOn w:val="7"/>
    <w:link w:val="15"/>
    <w:qFormat/>
    <w:uiPriority w:val="0"/>
  </w:style>
  <w:style w:type="character" w:customStyle="1" w:styleId="27">
    <w:name w:val="Normal (Web) Char"/>
    <w:link w:val="18"/>
    <w:qFormat/>
    <w:locked/>
    <w:uiPriority w:val="99"/>
    <w:rPr>
      <w:rFonts w:eastAsia="Yu Mincho"/>
      <w:lang w:val="en-US" w:eastAsia="en-US"/>
    </w:rPr>
  </w:style>
  <w:style w:type="character" w:customStyle="1" w:styleId="28">
    <w:name w:val="Header Char"/>
    <w:link w:val="16"/>
    <w:uiPriority w:val="99"/>
    <w:rPr>
      <w:rFonts w:ascii="VNI-Times" w:hAnsi="VNI-Times"/>
      <w:sz w:val="26"/>
      <w:lang w:eastAsia="en-US"/>
    </w:rPr>
  </w:style>
  <w:style w:type="character" w:customStyle="1" w:styleId="29">
    <w:name w:val="Heading 1 Char"/>
    <w:link w:val="2"/>
    <w:uiPriority w:val="9"/>
    <w:rPr>
      <w:rFonts w:ascii="Calibri Light" w:hAnsi="Calibri Light" w:eastAsia="Times New Roman" w:cs="Times New Roman"/>
      <w:b/>
      <w:bCs/>
      <w:kern w:val="32"/>
      <w:sz w:val="32"/>
      <w:szCs w:val="32"/>
    </w:rPr>
  </w:style>
  <w:style w:type="character" w:customStyle="1" w:styleId="30">
    <w:name w:val="fontstyle01"/>
    <w:uiPriority w:val="0"/>
    <w:rPr>
      <w:rFonts w:hint="default" w:ascii="TimesNewRomanPSMT" w:hAnsi="TimesNewRomanPSMT"/>
      <w:color w:val="000000"/>
      <w:sz w:val="28"/>
      <w:szCs w:val="28"/>
    </w:rPr>
  </w:style>
  <w:style w:type="character" w:customStyle="1" w:styleId="31">
    <w:name w:val="Heading 2 Char"/>
    <w:link w:val="3"/>
    <w:uiPriority w:val="0"/>
    <w:rPr>
      <w:rFonts w:ascii="VNI-Times" w:hAnsi="VNI-Times"/>
      <w:b/>
      <w:sz w:val="24"/>
    </w:rPr>
  </w:style>
  <w:style w:type="character" w:customStyle="1" w:styleId="32">
    <w:name w:val="fontstyle21"/>
    <w:uiPriority w:val="0"/>
    <w:rPr>
      <w:rFonts w:hint="default" w:ascii="Times New Roman" w:hAnsi="Times New Roman" w:cs="Times New Roman"/>
      <w:color w:val="000000"/>
      <w:sz w:val="28"/>
      <w:szCs w:val="28"/>
    </w:rPr>
  </w:style>
  <w:style w:type="character" w:customStyle="1" w:styleId="33">
    <w:name w:val="fontstyle31"/>
    <w:uiPriority w:val="0"/>
    <w:rPr>
      <w:rFonts w:hint="default" w:ascii="Times New Roman" w:hAnsi="Times New Roman" w:cs="Times New Roman"/>
      <w:b/>
      <w:bCs/>
      <w:color w:val="000000"/>
      <w:sz w:val="28"/>
      <w:szCs w:val="28"/>
    </w:rPr>
  </w:style>
  <w:style w:type="paragraph" w:styleId="34">
    <w:name w:val="List Paragraph"/>
    <w:basedOn w:val="1"/>
    <w:qFormat/>
    <w:uiPriority w:val="34"/>
    <w:pPr>
      <w:ind w:left="720"/>
      <w:contextualSpacing/>
    </w:pPr>
    <w:rPr>
      <w:lang w:val="vi-VN"/>
    </w:rPr>
  </w:style>
  <w:style w:type="paragraph" w:customStyle="1" w:styleId="35">
    <w:name w:val="isselectedend"/>
    <w:basedOn w:val="1"/>
    <w:uiPriority w:val="0"/>
    <w:pPr>
      <w:spacing w:before="100" w:beforeAutospacing="1" w:after="100" w:afterAutospacing="1"/>
    </w:pPr>
  </w:style>
  <w:style w:type="paragraph" w:customStyle="1" w:styleId="36">
    <w:name w:val="pdq2pg_selectionanchorcontainer"/>
    <w:basedOn w:val="1"/>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CD03D3-D09E-40C7-8373-C4F247B2815D}">
  <ds:schemaRefs/>
</ds:datastoreItem>
</file>

<file path=docProps/app.xml><?xml version="1.0" encoding="utf-8"?>
<Properties xmlns="http://schemas.openxmlformats.org/officeDocument/2006/extended-properties" xmlns:vt="http://schemas.openxmlformats.org/officeDocument/2006/docPropsVTypes">
  <Template>Normal.dotm</Template>
  <Pages>9</Pages>
  <Words>593</Words>
  <Characters>2226</Characters>
  <Lines>136</Lines>
  <Paragraphs>38</Paragraphs>
  <TotalTime>21</TotalTime>
  <ScaleCrop>false</ScaleCrop>
  <LinksUpToDate>false</LinksUpToDate>
  <CharactersWithSpaces>2830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2026-10-26T16:05:00Z</dcterms:created>
  <dc:creator>Đại Nguyễn Đăng</dc:creator>
  <cp:lastModifiedBy>user</cp:lastModifiedBy>
  <cp:lastPrinted>2025-11-17T01:49:00Z</cp:lastPrinted>
  <dcterms:modified xsi:type="dcterms:W3CDTF">2026-11-02T01:57:20Z</dcterms:modified>
  <dc:title>ỦY BAN NHÂN DÂN            CỘNG HÒA XÃ HỘI CHỦ NGHĨA VIỆT NAM</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2F997DB2C54D4D00A1C0016A753744BF_13</vt:lpwstr>
  </property>
</Properties>
</file>