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5135" w:type="pct"/>
        <w:tblInd w:w="0" w:type="dxa"/>
        <w:tblLayout w:type="autofit"/>
        <w:tblCellMar>
          <w:top w:w="0" w:type="dxa"/>
          <w:left w:w="0" w:type="dxa"/>
          <w:bottom w:w="0" w:type="dxa"/>
          <w:right w:w="0" w:type="dxa"/>
        </w:tblCellMar>
      </w:tblPr>
      <w:tblGrid>
        <w:gridCol w:w="3393"/>
        <w:gridCol w:w="6016"/>
      </w:tblGrid>
      <w:tr w14:paraId="1F1AAE33">
        <w:tblPrEx>
          <w:tblCellMar>
            <w:top w:w="0" w:type="dxa"/>
            <w:left w:w="0" w:type="dxa"/>
            <w:bottom w:w="0" w:type="dxa"/>
            <w:right w:w="0" w:type="dxa"/>
          </w:tblCellMar>
        </w:tblPrEx>
        <w:trPr>
          <w:trHeight w:val="132" w:hRule="atLeast"/>
        </w:trPr>
        <w:tc>
          <w:tcPr>
            <w:tcW w:w="1803" w:type="pct"/>
            <w:tcMar>
              <w:top w:w="45" w:type="dxa"/>
              <w:left w:w="45" w:type="dxa"/>
              <w:bottom w:w="45" w:type="dxa"/>
              <w:right w:w="45" w:type="dxa"/>
            </w:tcMar>
          </w:tcPr>
          <w:p w14:paraId="10656388">
            <w:pPr>
              <w:pStyle w:val="9"/>
              <w:spacing w:before="0" w:beforeAutospacing="0" w:after="0" w:afterAutospacing="0"/>
              <w:jc w:val="center"/>
              <w:rPr>
                <w:b/>
                <w:bCs/>
                <w:color w:val="222222"/>
                <w:lang w:val="vi-VN"/>
              </w:rPr>
            </w:pPr>
            <w:bookmarkStart w:id="0" w:name="_GoBack"/>
            <w:bookmarkEnd w:id="0"/>
            <w:r>
              <w:rPr>
                <w:b/>
                <w:bCs/>
                <w:color w:val="222222"/>
              </w:rPr>
              <w:t>ỦY BAN NHÂN DÂN</w:t>
            </w:r>
            <w:r>
              <w:rPr>
                <w:b/>
                <w:bCs/>
                <w:color w:val="222222"/>
              </w:rPr>
              <w:br w:type="textWrapping"/>
            </w:r>
            <w:r>
              <w:rPr>
                <w:b/>
                <w:bCs/>
                <w:color w:val="222222"/>
              </w:rPr>
              <w:t>TỈNH</w:t>
            </w:r>
            <w:r>
              <w:rPr>
                <w:b/>
                <w:bCs/>
                <w:color w:val="222222"/>
                <w:lang w:val="vi-VN"/>
              </w:rPr>
              <w:t xml:space="preserve"> HÀ TĨNH</w:t>
            </w:r>
          </w:p>
          <w:p w14:paraId="7B1D6BA9">
            <w:pPr>
              <w:pStyle w:val="9"/>
              <w:spacing w:before="0" w:beforeAutospacing="0" w:after="0" w:afterAutospacing="0"/>
              <w:jc w:val="center"/>
              <w:rPr>
                <w:color w:val="222222"/>
                <w:sz w:val="28"/>
                <w:szCs w:val="28"/>
                <w:vertAlign w:val="superscript"/>
              </w:rPr>
            </w:pPr>
            <w:r>
              <w:rPr>
                <w:color w:val="222222"/>
                <w:sz w:val="28"/>
                <w:szCs w:val="28"/>
                <w:vertAlign w:val="superscript"/>
              </w:rPr>
              <mc:AlternateContent>
                <mc:Choice Requires="wps">
                  <w:drawing>
                    <wp:anchor distT="0" distB="0" distL="114300" distR="114300" simplePos="0" relativeHeight="251659264" behindDoc="0" locked="0" layoutInCell="1" allowOverlap="1">
                      <wp:simplePos x="0" y="0"/>
                      <wp:positionH relativeFrom="column">
                        <wp:posOffset>624840</wp:posOffset>
                      </wp:positionH>
                      <wp:positionV relativeFrom="paragraph">
                        <wp:posOffset>20955</wp:posOffset>
                      </wp:positionV>
                      <wp:extent cx="750570" cy="0"/>
                      <wp:effectExtent l="0" t="0" r="0" b="0"/>
                      <wp:wrapNone/>
                      <wp:docPr id="336294160" name="Straight Connector 1"/>
                      <wp:cNvGraphicFramePr/>
                      <a:graphic xmlns:a="http://schemas.openxmlformats.org/drawingml/2006/main">
                        <a:graphicData uri="http://schemas.microsoft.com/office/word/2010/wordprocessingShape">
                          <wps:wsp>
                            <wps:cNvCnPr/>
                            <wps:spPr>
                              <a:xfrm>
                                <a:off x="0" y="0"/>
                                <a:ext cx="75054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o:spt="20" style="position:absolute;left:0pt;margin-left:49.2pt;margin-top:1.65pt;height:0pt;width:59.1pt;z-index:251659264;mso-width-relative:page;mso-height-relative:page;" filled="f" stroked="t" coordsize="21600,21600" o:gfxdata="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OWpM01AAAAAYB&#10;AAAPAAAAAAAAAAEAIAAAACIAAABkcnMvZG93bnJldi54bWxQSwECFAAUAAAACACHTuJAJ4KfHOYB&#10;AADdAwAADgAAAAAAAAABACAAAAAjAQAAZHJzL2Uyb0RvYy54bWxQSwUGAAAAAAYABgBZAQAAewUA&#10;AAAA&#10;">
                      <v:fill on="f" focussize="0,0"/>
                      <v:stroke color="#000000 [3200]" joinstyle="round"/>
                      <v:imagedata o:title=""/>
                      <o:lock v:ext="edit" aspectratio="f"/>
                    </v:line>
                  </w:pict>
                </mc:Fallback>
              </mc:AlternateContent>
            </w:r>
          </w:p>
          <w:p w14:paraId="76B16533">
            <w:pPr>
              <w:pStyle w:val="9"/>
              <w:spacing w:before="0" w:beforeAutospacing="0" w:after="0" w:afterAutospacing="0"/>
              <w:jc w:val="center"/>
              <w:rPr>
                <w:color w:val="222222"/>
                <w:sz w:val="28"/>
                <w:szCs w:val="28"/>
              </w:rPr>
            </w:pPr>
            <w:r>
              <w:rPr>
                <w:color w:val="222222"/>
                <w:sz w:val="28"/>
                <w:szCs w:val="28"/>
              </w:rPr>
              <w:t xml:space="preserve">Số: </w:t>
            </w:r>
            <w:r>
              <w:rPr>
                <w:color w:val="222222"/>
                <w:sz w:val="28"/>
                <w:szCs w:val="28"/>
                <w:lang w:val="vi-VN"/>
              </w:rPr>
              <w:t xml:space="preserve">   </w:t>
            </w:r>
            <w:r>
              <w:rPr>
                <w:color w:val="222222"/>
                <w:sz w:val="28"/>
                <w:szCs w:val="28"/>
                <w:lang w:val="en-US"/>
              </w:rPr>
              <w:t xml:space="preserve">        </w:t>
            </w:r>
            <w:r>
              <w:rPr>
                <w:color w:val="222222"/>
                <w:sz w:val="28"/>
                <w:szCs w:val="28"/>
              </w:rPr>
              <w:t>/2026/QĐ-UBND</w:t>
            </w:r>
          </w:p>
        </w:tc>
        <w:tc>
          <w:tcPr>
            <w:tcW w:w="3197" w:type="pct"/>
            <w:tcMar>
              <w:top w:w="45" w:type="dxa"/>
              <w:left w:w="45" w:type="dxa"/>
              <w:bottom w:w="45" w:type="dxa"/>
              <w:right w:w="45" w:type="dxa"/>
            </w:tcMar>
          </w:tcPr>
          <w:p w14:paraId="0E84573B">
            <w:pPr>
              <w:pStyle w:val="9"/>
              <w:spacing w:before="0" w:beforeAutospacing="0" w:after="0" w:afterAutospacing="0"/>
              <w:jc w:val="center"/>
              <w:rPr>
                <w:color w:val="222222"/>
                <w:sz w:val="28"/>
                <w:szCs w:val="28"/>
              </w:rPr>
            </w:pPr>
            <w:r>
              <w:rPr>
                <w:b/>
                <w:bCs/>
                <w:color w:val="222222"/>
              </w:rPr>
              <w:t>CỘNG HÒA XÃ HỘI CHỦ NGHĨA VIỆT NAM</w:t>
            </w:r>
            <w:r>
              <w:rPr>
                <w:color w:val="222222"/>
                <w:sz w:val="28"/>
                <w:szCs w:val="28"/>
              </w:rPr>
              <w:br w:type="textWrapping"/>
            </w:r>
            <w:r>
              <w:rPr>
                <w:b/>
                <w:bCs/>
                <w:color w:val="222222"/>
                <w:sz w:val="28"/>
                <w:szCs w:val="28"/>
              </w:rPr>
              <w:t>Độc lập - Tự do - Hạnh phúc</w:t>
            </w:r>
          </w:p>
          <w:p w14:paraId="072C468B">
            <w:pPr>
              <w:pStyle w:val="9"/>
              <w:spacing w:before="0" w:beforeAutospacing="0" w:after="0" w:afterAutospacing="0"/>
              <w:jc w:val="center"/>
              <w:rPr>
                <w:vertAlign w:val="superscript"/>
              </w:rPr>
            </w:pPr>
            <w:r>
              <w:rPr>
                <w:vertAlign w:val="superscript"/>
              </w:rPr>
              <mc:AlternateContent>
                <mc:Choice Requires="wps">
                  <w:drawing>
                    <wp:anchor distT="0" distB="0" distL="114300" distR="114300" simplePos="0" relativeHeight="251660288" behindDoc="0" locked="0" layoutInCell="1" allowOverlap="1">
                      <wp:simplePos x="0" y="0"/>
                      <wp:positionH relativeFrom="column">
                        <wp:posOffset>911860</wp:posOffset>
                      </wp:positionH>
                      <wp:positionV relativeFrom="paragraph">
                        <wp:posOffset>28575</wp:posOffset>
                      </wp:positionV>
                      <wp:extent cx="1754505" cy="0"/>
                      <wp:effectExtent l="0" t="0" r="0" b="0"/>
                      <wp:wrapNone/>
                      <wp:docPr id="1076770049" name="Straight Connector 2"/>
                      <wp:cNvGraphicFramePr/>
                      <a:graphic xmlns:a="http://schemas.openxmlformats.org/drawingml/2006/main">
                        <a:graphicData uri="http://schemas.microsoft.com/office/word/2010/wordprocessingShape">
                          <wps:wsp>
                            <wps:cNvCnPr/>
                            <wps:spPr>
                              <a:xfrm>
                                <a:off x="0" y="0"/>
                                <a:ext cx="175480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o:spid="_x0000_s1026" o:spt="20" style="position:absolute;left:0pt;margin-left:71.8pt;margin-top:2.25pt;height:0pt;width:138.15pt;z-index:251660288;mso-width-relative:page;mso-height-relative:page;" filled="f" stroked="t" coordsize="21600,21600" o:gfxdata="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d&#10;e8lq1gAAAAcBAAAPAAAAAAAAAAEAIAAAACIAAABkcnMvZG93bnJldi54bWxQSwECFAAUAAAACACH&#10;TuJA2e/rLu0BAADfAwAADgAAAAAAAAABACAAAAAlAQAAZHJzL2Uyb0RvYy54bWxQSwUGAAAAAAYA&#10;BgBZAQAAhAUAAAAA&#10;">
                      <v:fill on="f" focussize="0,0"/>
                      <v:stroke color="#4A7EBB [3204]" joinstyle="round"/>
                      <v:imagedata o:title=""/>
                      <o:lock v:ext="edit" aspectratio="f"/>
                    </v:line>
                  </w:pict>
                </mc:Fallback>
              </mc:AlternateContent>
            </w:r>
          </w:p>
          <w:p w14:paraId="2A0F1162">
            <w:pPr>
              <w:pStyle w:val="9"/>
              <w:spacing w:before="0" w:beforeAutospacing="0" w:after="0" w:afterAutospacing="0"/>
              <w:jc w:val="center"/>
              <w:rPr>
                <w:color w:val="222222"/>
                <w:sz w:val="28"/>
                <w:szCs w:val="28"/>
              </w:rPr>
            </w:pPr>
            <w:r>
              <w:rPr>
                <w:rStyle w:val="5"/>
                <w:color w:val="222222"/>
                <w:sz w:val="28"/>
                <w:szCs w:val="28"/>
              </w:rPr>
              <w:t>Hà</w:t>
            </w:r>
            <w:r>
              <w:rPr>
                <w:rStyle w:val="5"/>
                <w:color w:val="222222"/>
                <w:sz w:val="28"/>
                <w:szCs w:val="28"/>
                <w:lang w:val="vi-VN"/>
              </w:rPr>
              <w:t xml:space="preserve"> Tĩnh</w:t>
            </w:r>
            <w:r>
              <w:rPr>
                <w:rStyle w:val="5"/>
                <w:color w:val="222222"/>
                <w:sz w:val="28"/>
                <w:szCs w:val="28"/>
              </w:rPr>
              <w:t xml:space="preserve">, ngày </w:t>
            </w:r>
            <w:r>
              <w:rPr>
                <w:rStyle w:val="5"/>
                <w:color w:val="222222"/>
                <w:sz w:val="28"/>
                <w:szCs w:val="28"/>
                <w:lang w:val="vi-VN"/>
              </w:rPr>
              <w:t xml:space="preserve">    </w:t>
            </w:r>
            <w:r>
              <w:rPr>
                <w:rStyle w:val="5"/>
                <w:color w:val="222222"/>
                <w:sz w:val="28"/>
                <w:szCs w:val="28"/>
              </w:rPr>
              <w:t xml:space="preserve"> tháng </w:t>
            </w:r>
            <w:r>
              <w:rPr>
                <w:rStyle w:val="5"/>
                <w:color w:val="222222"/>
                <w:sz w:val="28"/>
                <w:szCs w:val="28"/>
                <w:lang w:val="vi-VN"/>
              </w:rPr>
              <w:t xml:space="preserve">    </w:t>
            </w:r>
            <w:r>
              <w:rPr>
                <w:rStyle w:val="5"/>
                <w:color w:val="222222"/>
                <w:sz w:val="28"/>
                <w:szCs w:val="28"/>
              </w:rPr>
              <w:t xml:space="preserve"> năm 2026</w:t>
            </w:r>
          </w:p>
        </w:tc>
      </w:tr>
    </w:tbl>
    <w:p w14:paraId="16285744">
      <w:pPr>
        <w:pStyle w:val="9"/>
        <w:spacing w:before="0" w:beforeAutospacing="0" w:after="0" w:afterAutospacing="0"/>
        <w:rPr>
          <w:b/>
          <w:bCs/>
          <w:color w:val="222222"/>
        </w:rPr>
      </w:pPr>
      <w:r>
        <w:rPr>
          <w:b/>
          <w:bCs/>
          <w:color w:val="222222"/>
        </w:rPr>
        <w:t xml:space="preserve">       DỰ THẢO</w:t>
      </w:r>
    </w:p>
    <w:p w14:paraId="5D99ACF2">
      <w:pPr>
        <w:pStyle w:val="9"/>
        <w:spacing w:before="0" w:beforeAutospacing="0" w:after="0" w:afterAutospacing="0"/>
        <w:jc w:val="center"/>
        <w:rPr>
          <w:color w:val="222222"/>
          <w:sz w:val="28"/>
          <w:szCs w:val="28"/>
        </w:rPr>
      </w:pPr>
      <w:r>
        <w:rPr>
          <w:b/>
          <w:bCs/>
          <w:color w:val="222222"/>
          <w:sz w:val="28"/>
          <w:szCs w:val="28"/>
        </w:rPr>
        <w:t>QUYẾT ĐỊNH</w:t>
      </w:r>
    </w:p>
    <w:p w14:paraId="2F634584">
      <w:pPr>
        <w:pStyle w:val="9"/>
        <w:spacing w:before="0" w:beforeAutospacing="0" w:after="0" w:afterAutospacing="0"/>
        <w:jc w:val="center"/>
        <w:rPr>
          <w:b/>
          <w:bCs/>
          <w:color w:val="222222"/>
          <w:sz w:val="28"/>
          <w:szCs w:val="28"/>
        </w:rPr>
      </w:pPr>
      <w:r>
        <w:rPr>
          <w:b/>
          <w:bCs/>
          <w:color w:val="222222"/>
          <w:sz w:val="28"/>
          <w:szCs w:val="28"/>
        </w:rPr>
        <w:t xml:space="preserve">Ban hành Quy chế quản lý công trình ghi công liệt sĩ, mộ liệt sĩ </w:t>
      </w:r>
    </w:p>
    <w:p w14:paraId="6CADE2A8">
      <w:pPr>
        <w:pStyle w:val="9"/>
        <w:spacing w:before="0" w:beforeAutospacing="0" w:after="0" w:afterAutospacing="0"/>
        <w:jc w:val="center"/>
        <w:rPr>
          <w:color w:val="222222"/>
          <w:sz w:val="28"/>
          <w:szCs w:val="28"/>
          <w:lang w:val="vi-VN"/>
        </w:rPr>
      </w:pPr>
      <w:r>
        <w:rPr>
          <w:b/>
          <w:bCs/>
          <w:color w:val="222222"/>
          <w:sz w:val="28"/>
          <w:szCs w:val="28"/>
        </w:rPr>
        <w:t>trên địa bàn tỉnh</w:t>
      </w:r>
      <w:r>
        <w:rPr>
          <w:b/>
          <w:bCs/>
          <w:color w:val="222222"/>
          <w:sz w:val="28"/>
          <w:szCs w:val="28"/>
          <w:lang w:val="vi-VN"/>
        </w:rPr>
        <w:t xml:space="preserve"> Hà Tĩnh</w:t>
      </w:r>
    </w:p>
    <w:p w14:paraId="196FC725">
      <w:pPr>
        <w:pStyle w:val="9"/>
        <w:spacing w:before="0" w:beforeAutospacing="0" w:after="0" w:afterAutospacing="0"/>
        <w:jc w:val="center"/>
        <w:rPr>
          <w:rStyle w:val="5"/>
          <w:color w:val="222222"/>
          <w:sz w:val="28"/>
          <w:szCs w:val="28"/>
        </w:rPr>
      </w:pPr>
      <w:r>
        <w:rPr>
          <w:i/>
          <w:iCs/>
          <w:color w:val="222222"/>
          <w:sz w:val="28"/>
          <w:szCs w:val="28"/>
        </w:rPr>
        <mc:AlternateContent>
          <mc:Choice Requires="wps">
            <w:drawing>
              <wp:anchor distT="0" distB="0" distL="114300" distR="114300" simplePos="0" relativeHeight="251661312" behindDoc="0" locked="0" layoutInCell="1" allowOverlap="1">
                <wp:simplePos x="0" y="0"/>
                <wp:positionH relativeFrom="column">
                  <wp:posOffset>2212340</wp:posOffset>
                </wp:positionH>
                <wp:positionV relativeFrom="paragraph">
                  <wp:posOffset>36830</wp:posOffset>
                </wp:positionV>
                <wp:extent cx="1321435" cy="5080"/>
                <wp:effectExtent l="0" t="0" r="31750" b="33020"/>
                <wp:wrapNone/>
                <wp:docPr id="210156954" name="Straight Connector 3"/>
                <wp:cNvGraphicFramePr/>
                <a:graphic xmlns:a="http://schemas.openxmlformats.org/drawingml/2006/main">
                  <a:graphicData uri="http://schemas.microsoft.com/office/word/2010/wordprocessingShape">
                    <wps:wsp>
                      <wps:cNvCnPr/>
                      <wps:spPr>
                        <a:xfrm flipV="1">
                          <a:off x="0" y="0"/>
                          <a:ext cx="1321387" cy="528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 o:spid="_x0000_s1026" o:spt="20" style="position:absolute;left:0pt;flip:y;margin-left:174.2pt;margin-top:2.9pt;height:0.4pt;width:104.05pt;z-index:251661312;mso-width-relative:page;mso-height-relative:page;" filled="f" stroked="t" coordsize="21600,21600" o:gfxdata="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mBq4AdcAAAAHAQAADwAAAAAAAAABACAAAAAiAAAAZHJzL2Rvd25yZXYueG1sUEsB&#10;AhQAFAAAAAgAh07iQJHmkPn2AQAA6wMAAA4AAAAAAAAAAQAgAAAAJgEAAGRycy9lMm9Eb2MueG1s&#10;UEsFBgAAAAAGAAYAWQEAAI4FAAAAAA==&#10;">
                <v:fill on="f" focussize="0,0"/>
                <v:stroke color="#4A7EBB [3204]" joinstyle="round"/>
                <v:imagedata o:title=""/>
                <o:lock v:ext="edit" aspectratio="f"/>
              </v:line>
            </w:pict>
          </mc:Fallback>
        </mc:AlternateContent>
      </w:r>
    </w:p>
    <w:p w14:paraId="020EE2F3">
      <w:pPr>
        <w:pStyle w:val="9"/>
        <w:spacing w:before="40" w:beforeAutospacing="0" w:after="40" w:afterAutospacing="0"/>
        <w:ind w:firstLine="567"/>
        <w:rPr>
          <w:rStyle w:val="5"/>
          <w:i w:val="0"/>
          <w:iCs w:val="0"/>
          <w:color w:val="222222"/>
          <w:sz w:val="28"/>
          <w:szCs w:val="28"/>
          <w:lang w:val="vi-VN"/>
        </w:rPr>
      </w:pPr>
      <w:r>
        <w:rPr>
          <w:rStyle w:val="5"/>
          <w:color w:val="222222"/>
          <w:sz w:val="28"/>
          <w:szCs w:val="28"/>
        </w:rPr>
        <w:t xml:space="preserve">Căn cứ Luật Tổ chức chính quyền địa phương </w:t>
      </w:r>
      <w:r>
        <w:rPr>
          <w:rStyle w:val="5"/>
          <w:color w:val="222222"/>
          <w:sz w:val="28"/>
          <w:szCs w:val="28"/>
          <w:lang w:val="vi-VN"/>
        </w:rPr>
        <w:t>số 72/2025/QH15;</w:t>
      </w:r>
    </w:p>
    <w:p w14:paraId="3A730FD8">
      <w:pPr>
        <w:pStyle w:val="9"/>
        <w:spacing w:before="40" w:beforeAutospacing="0" w:after="40" w:afterAutospacing="0"/>
        <w:ind w:firstLine="567"/>
        <w:jc w:val="both"/>
        <w:rPr>
          <w:rStyle w:val="5"/>
          <w:color w:val="222222"/>
          <w:sz w:val="28"/>
          <w:szCs w:val="28"/>
          <w:lang w:val="vi-VN"/>
        </w:rPr>
      </w:pPr>
      <w:r>
        <w:rPr>
          <w:rStyle w:val="5"/>
          <w:color w:val="222222"/>
          <w:sz w:val="28"/>
          <w:szCs w:val="28"/>
          <w:lang w:val="vi-VN"/>
        </w:rPr>
        <w:t>Căn cứ Luật sửa đổi, bổ sung một số điều của Luật Ban hành văn bản quy phạm pháp luật số 87/2025/QH15;</w:t>
      </w:r>
    </w:p>
    <w:p w14:paraId="50CDFF72">
      <w:pPr>
        <w:pStyle w:val="9"/>
        <w:spacing w:before="40" w:beforeAutospacing="0" w:after="40" w:afterAutospacing="0"/>
        <w:ind w:firstLine="567"/>
        <w:jc w:val="both"/>
        <w:rPr>
          <w:rStyle w:val="5"/>
          <w:color w:val="222222"/>
          <w:sz w:val="28"/>
          <w:szCs w:val="28"/>
          <w:lang w:val="vi-VN"/>
        </w:rPr>
      </w:pPr>
      <w:r>
        <w:rPr>
          <w:rStyle w:val="5"/>
          <w:color w:val="222222"/>
          <w:sz w:val="28"/>
          <w:szCs w:val="28"/>
          <w:lang w:val="vi-VN"/>
        </w:rPr>
        <w:t>Căn cứ Pháp lệnh Ưu đãi người có công với cách mạng số 02/2020/UBTVQH14 và Pháp lệnh số 05/2026/PL-UBTVQH16;</w:t>
      </w:r>
    </w:p>
    <w:p w14:paraId="3631B623">
      <w:pPr>
        <w:pStyle w:val="9"/>
        <w:spacing w:before="40" w:beforeAutospacing="0" w:after="40" w:afterAutospacing="0"/>
        <w:ind w:firstLine="567"/>
        <w:jc w:val="both"/>
        <w:rPr>
          <w:i/>
          <w:iCs/>
          <w:color w:val="222222"/>
          <w:sz w:val="28"/>
          <w:szCs w:val="28"/>
          <w:lang w:val="vi-VN"/>
        </w:rPr>
      </w:pPr>
      <w:r>
        <w:rPr>
          <w:rStyle w:val="5"/>
          <w:color w:val="222222"/>
          <w:sz w:val="28"/>
          <w:szCs w:val="28"/>
          <w:lang w:val="vi-VN"/>
        </w:rPr>
        <w:t>Căn cứ Nghị định số 131/2021/NĐ-CP ngày 30/12/2021 của Chính phủ quy định chi tiết và biện pháp thi hành Pháp lệnh Ưu đãi người có công với cách mạng;</w:t>
      </w:r>
    </w:p>
    <w:p w14:paraId="2C251BBB">
      <w:pPr>
        <w:pStyle w:val="9"/>
        <w:spacing w:before="40" w:beforeAutospacing="0" w:after="40" w:afterAutospacing="0"/>
        <w:ind w:firstLine="567"/>
        <w:jc w:val="both"/>
        <w:rPr>
          <w:i/>
          <w:iCs/>
          <w:color w:val="222222"/>
          <w:sz w:val="28"/>
          <w:szCs w:val="28"/>
          <w:lang w:val="vi-VN"/>
        </w:rPr>
      </w:pPr>
      <w:r>
        <w:rPr>
          <w:rStyle w:val="5"/>
          <w:color w:val="222222"/>
          <w:sz w:val="28"/>
          <w:szCs w:val="28"/>
          <w:lang w:val="vi-VN"/>
        </w:rPr>
        <w:t>Căn cứ Nghị định số 128/2025/NĐ-CP ngày 11/6/2025 của Chính phủ ban hành quy định về phân quyền, phân cấp quản lý nhà nước trong lĩnh vực nội vụ;</w:t>
      </w:r>
    </w:p>
    <w:p w14:paraId="7D2D3863">
      <w:pPr>
        <w:pStyle w:val="9"/>
        <w:spacing w:before="40" w:beforeAutospacing="0" w:after="40" w:afterAutospacing="0"/>
        <w:ind w:firstLine="567"/>
        <w:jc w:val="both"/>
        <w:rPr>
          <w:rStyle w:val="5"/>
          <w:color w:val="222222"/>
          <w:sz w:val="28"/>
          <w:szCs w:val="28"/>
          <w:lang w:val="vi-VN"/>
        </w:rPr>
      </w:pPr>
      <w:r>
        <w:rPr>
          <w:rStyle w:val="5"/>
          <w:color w:val="222222"/>
          <w:sz w:val="28"/>
          <w:szCs w:val="28"/>
          <w:lang w:val="vi-VN"/>
        </w:rPr>
        <w:t>Căn cứ Nghị định số 129/2025/NĐ-CP ngày 11/6/2025 của Chính phủ quy định về phân định thẩm quyền của chính quyền địa phương 02 cấp trong lĩnh vực quản lý nhà nước của Bộ Nội vụ;</w:t>
      </w:r>
    </w:p>
    <w:p w14:paraId="3BCD2382">
      <w:pPr>
        <w:pStyle w:val="9"/>
        <w:spacing w:before="40" w:beforeAutospacing="0" w:after="40" w:afterAutospacing="0"/>
        <w:ind w:firstLine="567"/>
        <w:jc w:val="both"/>
        <w:rPr>
          <w:i/>
          <w:iCs/>
          <w:color w:val="222222"/>
          <w:sz w:val="28"/>
          <w:szCs w:val="28"/>
          <w:lang w:val="vi-VN"/>
        </w:rPr>
      </w:pPr>
      <w:r>
        <w:rPr>
          <w:rStyle w:val="5"/>
          <w:color w:val="222222"/>
          <w:sz w:val="28"/>
          <w:szCs w:val="28"/>
          <w:lang w:val="vi-VN"/>
        </w:rPr>
        <w:t>Theo đề nghị của Sở Nội vụ tại Tờ trình số …./TTr-SNV ngày …../…/2026 và Sở Tư pháp tại Báo cáo thẩm định số …../BC-STP ngày …./…./2026;</w:t>
      </w:r>
    </w:p>
    <w:p w14:paraId="47D813C8">
      <w:pPr>
        <w:pStyle w:val="9"/>
        <w:spacing w:before="40" w:beforeAutospacing="0" w:after="40" w:afterAutospacing="0"/>
        <w:ind w:firstLine="567"/>
        <w:jc w:val="both"/>
        <w:rPr>
          <w:color w:val="222222"/>
          <w:sz w:val="28"/>
          <w:szCs w:val="28"/>
          <w:lang w:val="vi-VN"/>
        </w:rPr>
      </w:pPr>
      <w:r>
        <w:rPr>
          <w:rStyle w:val="5"/>
          <w:color w:val="222222"/>
          <w:sz w:val="28"/>
          <w:szCs w:val="28"/>
          <w:lang w:val="vi-VN"/>
        </w:rPr>
        <w:t>Ủy ban nhân dân tỉnh ban hành Quyết định Quy chế quản lý công trình ghi công liệt sĩ, mộ liệt sĩ trên địa bàn tỉnh Hà Tĩnh.</w:t>
      </w:r>
    </w:p>
    <w:p w14:paraId="477BCC87">
      <w:pPr>
        <w:pStyle w:val="9"/>
        <w:spacing w:before="40" w:beforeAutospacing="0" w:after="40" w:afterAutospacing="0"/>
        <w:ind w:firstLine="567"/>
        <w:jc w:val="both"/>
        <w:rPr>
          <w:color w:val="222222"/>
          <w:sz w:val="28"/>
          <w:szCs w:val="28"/>
          <w:lang w:val="vi-VN"/>
        </w:rPr>
      </w:pPr>
      <w:r>
        <w:rPr>
          <w:b/>
          <w:bCs/>
          <w:color w:val="222222"/>
          <w:sz w:val="28"/>
          <w:szCs w:val="28"/>
          <w:lang w:val="vi-VN"/>
        </w:rPr>
        <w:t>Điều 1.</w:t>
      </w:r>
      <w:r>
        <w:rPr>
          <w:color w:val="222222"/>
          <w:sz w:val="28"/>
          <w:szCs w:val="28"/>
          <w:lang w:val="vi-VN"/>
        </w:rPr>
        <w:t xml:space="preserve"> Ban hành kèm theo Quyết định này Quy chế quản lý công trình ghi công liệt sĩ, mộ liệt sĩ trên địa bàn tỉnh Hà Tĩnh.</w:t>
      </w:r>
    </w:p>
    <w:p w14:paraId="73622DF5">
      <w:pPr>
        <w:pStyle w:val="9"/>
        <w:spacing w:before="40" w:beforeAutospacing="0" w:after="40" w:afterAutospacing="0"/>
        <w:ind w:firstLine="567"/>
        <w:jc w:val="both"/>
        <w:rPr>
          <w:color w:val="222222"/>
          <w:sz w:val="28"/>
          <w:szCs w:val="28"/>
          <w:lang w:val="vi-VN"/>
        </w:rPr>
      </w:pPr>
      <w:r>
        <w:rPr>
          <w:b/>
          <w:bCs/>
          <w:color w:val="222222"/>
          <w:sz w:val="28"/>
          <w:szCs w:val="28"/>
          <w:lang w:val="vi-VN"/>
        </w:rPr>
        <w:t xml:space="preserve">Điều 2. </w:t>
      </w:r>
      <w:r>
        <w:rPr>
          <w:color w:val="222222"/>
          <w:sz w:val="28"/>
          <w:szCs w:val="28"/>
          <w:lang w:val="vi-VN"/>
        </w:rPr>
        <w:t>Quyết định này có hiệu lực thi hành từ ngày… tháng …năm 2026.</w:t>
      </w:r>
    </w:p>
    <w:p w14:paraId="1FCAD0CC">
      <w:pPr>
        <w:pStyle w:val="9"/>
        <w:spacing w:before="40" w:beforeAutospacing="0" w:after="40" w:afterAutospacing="0"/>
        <w:ind w:firstLine="567"/>
        <w:jc w:val="both"/>
        <w:rPr>
          <w:color w:val="222222"/>
          <w:sz w:val="28"/>
          <w:szCs w:val="28"/>
          <w:lang w:val="vi-VN"/>
        </w:rPr>
      </w:pPr>
      <w:r>
        <w:rPr>
          <w:b/>
          <w:bCs/>
          <w:color w:val="222222"/>
          <w:sz w:val="28"/>
          <w:szCs w:val="28"/>
          <w:lang w:val="vi-VN"/>
        </w:rPr>
        <w:t>Điều 3.</w:t>
      </w:r>
      <w:r>
        <w:rPr>
          <w:color w:val="222222"/>
          <w:sz w:val="28"/>
          <w:szCs w:val="28"/>
          <w:lang w:val="vi-VN"/>
        </w:rPr>
        <w:t xml:space="preserve"> Chánh Văn phòng Uỷ ban nhân dân tỉnh; Giám đốc Sở Nội vụ; Giám đốc các Sở, ban, ngành, đoàn thể cấp tỉnh; Chủ tịch Ủy ban nhân dân các xã, phường; Các tổ chức, cá nhân liên quan chịu trách nhiệm thi hành Quyết định này./.</w:t>
      </w:r>
    </w:p>
    <w:p w14:paraId="72B58FBF">
      <w:pPr>
        <w:pStyle w:val="9"/>
        <w:spacing w:before="0" w:beforeAutospacing="0" w:after="0" w:afterAutospacing="0"/>
        <w:ind w:firstLine="567"/>
        <w:jc w:val="both"/>
        <w:rPr>
          <w:color w:val="222222"/>
          <w:sz w:val="28"/>
          <w:szCs w:val="28"/>
          <w:lang w:val="vi-VN"/>
        </w:rPr>
      </w:pPr>
    </w:p>
    <w:tbl>
      <w:tblPr>
        <w:tblStyle w:val="3"/>
        <w:tblW w:w="9230" w:type="dxa"/>
        <w:tblInd w:w="0" w:type="dxa"/>
        <w:tblLayout w:type="autofit"/>
        <w:tblCellMar>
          <w:top w:w="0" w:type="dxa"/>
          <w:left w:w="0" w:type="dxa"/>
          <w:bottom w:w="0" w:type="dxa"/>
          <w:right w:w="0" w:type="dxa"/>
        </w:tblCellMar>
      </w:tblPr>
      <w:tblGrid>
        <w:gridCol w:w="3402"/>
        <w:gridCol w:w="2080"/>
        <w:gridCol w:w="3690"/>
        <w:gridCol w:w="58"/>
      </w:tblGrid>
      <w:tr w14:paraId="34165776">
        <w:tblPrEx>
          <w:tblCellMar>
            <w:top w:w="0" w:type="dxa"/>
            <w:left w:w="0" w:type="dxa"/>
            <w:bottom w:w="0" w:type="dxa"/>
            <w:right w:w="0" w:type="dxa"/>
          </w:tblCellMar>
        </w:tblPrEx>
        <w:trPr>
          <w:trHeight w:val="20" w:hRule="atLeast"/>
        </w:trPr>
        <w:tc>
          <w:tcPr>
            <w:tcW w:w="5482" w:type="dxa"/>
            <w:gridSpan w:val="2"/>
            <w:tcMar>
              <w:top w:w="45" w:type="dxa"/>
              <w:left w:w="45" w:type="dxa"/>
              <w:bottom w:w="45" w:type="dxa"/>
              <w:right w:w="45" w:type="dxa"/>
            </w:tcMar>
          </w:tcPr>
          <w:p w14:paraId="42B8ED0A">
            <w:pPr>
              <w:pStyle w:val="9"/>
              <w:spacing w:before="0" w:beforeAutospacing="0" w:after="0" w:afterAutospacing="0"/>
              <w:contextualSpacing/>
              <w:rPr>
                <w:color w:val="222222"/>
                <w:sz w:val="22"/>
                <w:szCs w:val="22"/>
                <w:lang w:val="vi-VN"/>
              </w:rPr>
            </w:pPr>
            <w:r>
              <w:rPr>
                <w:rStyle w:val="5"/>
                <w:b/>
                <w:bCs/>
                <w:color w:val="222222"/>
                <w:sz w:val="22"/>
                <w:szCs w:val="22"/>
                <w:lang w:val="vi-VN"/>
              </w:rPr>
              <w:t>Nơi nhận:</w:t>
            </w:r>
            <w:r>
              <w:rPr>
                <w:color w:val="222222"/>
                <w:sz w:val="22"/>
                <w:szCs w:val="22"/>
                <w:lang w:val="vi-VN"/>
              </w:rPr>
              <w:br w:type="textWrapping"/>
            </w:r>
            <w:r>
              <w:rPr>
                <w:color w:val="222222"/>
                <w:sz w:val="22"/>
                <w:szCs w:val="22"/>
                <w:lang w:val="vi-VN"/>
              </w:rPr>
              <w:t>- Như Điều 3;</w:t>
            </w:r>
            <w:r>
              <w:rPr>
                <w:color w:val="222222"/>
                <w:sz w:val="22"/>
                <w:szCs w:val="22"/>
                <w:lang w:val="vi-VN"/>
              </w:rPr>
              <w:br w:type="textWrapping"/>
            </w:r>
            <w:r>
              <w:rPr>
                <w:color w:val="222222"/>
                <w:sz w:val="22"/>
                <w:szCs w:val="22"/>
                <w:lang w:val="vi-VN"/>
              </w:rPr>
              <w:t>- Các Bộ: Nội vụ, Xây dựng, Tài chính;</w:t>
            </w:r>
            <w:r>
              <w:rPr>
                <w:color w:val="222222"/>
                <w:sz w:val="22"/>
                <w:szCs w:val="22"/>
                <w:lang w:val="vi-VN"/>
              </w:rPr>
              <w:br w:type="textWrapping"/>
            </w:r>
            <w:r>
              <w:rPr>
                <w:color w:val="222222"/>
                <w:sz w:val="22"/>
                <w:szCs w:val="22"/>
                <w:lang w:val="vi-VN"/>
              </w:rPr>
              <w:t>- Cục Kiểm tra VBQPPL - Bộ Tư pháp;</w:t>
            </w:r>
            <w:r>
              <w:rPr>
                <w:color w:val="222222"/>
                <w:sz w:val="22"/>
                <w:szCs w:val="22"/>
                <w:lang w:val="vi-VN"/>
              </w:rPr>
              <w:br w:type="textWrapping"/>
            </w:r>
            <w:r>
              <w:rPr>
                <w:color w:val="222222"/>
                <w:sz w:val="22"/>
                <w:szCs w:val="22"/>
                <w:lang w:val="vi-VN"/>
              </w:rPr>
              <w:t>- Thường trực Tỉnh uỷ;</w:t>
            </w:r>
          </w:p>
          <w:p w14:paraId="4B6A64AF">
            <w:pPr>
              <w:pStyle w:val="9"/>
              <w:spacing w:before="0" w:beforeAutospacing="0" w:after="0" w:afterAutospacing="0"/>
              <w:contextualSpacing/>
              <w:rPr>
                <w:color w:val="222222"/>
                <w:sz w:val="22"/>
                <w:szCs w:val="22"/>
                <w:lang w:val="vi-VN"/>
              </w:rPr>
            </w:pPr>
            <w:r>
              <w:rPr>
                <w:color w:val="222222"/>
                <w:sz w:val="22"/>
                <w:szCs w:val="22"/>
                <w:lang w:val="vi-VN"/>
              </w:rPr>
              <w:t>- Thường trực HĐND tỉnh;</w:t>
            </w:r>
          </w:p>
          <w:p w14:paraId="4BA5756D">
            <w:pPr>
              <w:pStyle w:val="9"/>
              <w:spacing w:before="0" w:beforeAutospacing="0" w:after="0" w:afterAutospacing="0"/>
              <w:contextualSpacing/>
              <w:rPr>
                <w:color w:val="222222"/>
                <w:sz w:val="22"/>
                <w:szCs w:val="22"/>
                <w:lang w:val="vi-VN"/>
              </w:rPr>
            </w:pPr>
            <w:r>
              <w:rPr>
                <w:color w:val="222222"/>
                <w:sz w:val="22"/>
                <w:szCs w:val="22"/>
                <w:lang w:val="vi-VN"/>
              </w:rPr>
              <w:t>- Chủ tịch, các PCT UBND tỉnh;</w:t>
            </w:r>
            <w:r>
              <w:rPr>
                <w:color w:val="222222"/>
                <w:sz w:val="22"/>
                <w:szCs w:val="22"/>
                <w:lang w:val="vi-VN"/>
              </w:rPr>
              <w:br w:type="textWrapping"/>
            </w:r>
            <w:r>
              <w:rPr>
                <w:color w:val="222222"/>
                <w:sz w:val="22"/>
                <w:szCs w:val="22"/>
                <w:lang w:val="vi-VN"/>
              </w:rPr>
              <w:t>- Uỷ ban MTTQ tỉnh;</w:t>
            </w:r>
            <w:r>
              <w:rPr>
                <w:color w:val="222222"/>
                <w:sz w:val="22"/>
                <w:szCs w:val="22"/>
                <w:lang w:val="vi-VN"/>
              </w:rPr>
              <w:br w:type="textWrapping"/>
            </w:r>
            <w:r>
              <w:rPr>
                <w:color w:val="222222"/>
                <w:sz w:val="22"/>
                <w:szCs w:val="22"/>
                <w:lang w:val="vi-VN"/>
              </w:rPr>
              <w:t>- Các Ban: KTNS, VHXH-HĐND tỉnh;</w:t>
            </w:r>
            <w:r>
              <w:rPr>
                <w:color w:val="222222"/>
                <w:sz w:val="22"/>
                <w:szCs w:val="22"/>
                <w:lang w:val="vi-VN"/>
              </w:rPr>
              <w:br w:type="textWrapping"/>
            </w:r>
            <w:r>
              <w:rPr>
                <w:color w:val="222222"/>
                <w:sz w:val="22"/>
                <w:szCs w:val="22"/>
                <w:lang w:val="vi-VN"/>
              </w:rPr>
              <w:t>- Chánh Văn phòng, PVP UBND tỉnh;</w:t>
            </w:r>
            <w:r>
              <w:rPr>
                <w:color w:val="222222"/>
                <w:sz w:val="22"/>
                <w:szCs w:val="22"/>
                <w:lang w:val="vi-VN"/>
              </w:rPr>
              <w:br w:type="textWrapping"/>
            </w:r>
            <w:r>
              <w:rPr>
                <w:color w:val="222222"/>
                <w:sz w:val="22"/>
                <w:szCs w:val="22"/>
                <w:lang w:val="vi-VN"/>
              </w:rPr>
              <w:t>- Trung tâm tin học – Công báo</w:t>
            </w:r>
            <w:r>
              <w:rPr>
                <w:color w:val="222222"/>
                <w:sz w:val="22"/>
                <w:szCs w:val="22"/>
                <w:lang w:val="vi-VN"/>
              </w:rPr>
              <w:br w:type="textWrapping"/>
            </w:r>
            <w:r>
              <w:rPr>
                <w:color w:val="222222"/>
                <w:sz w:val="22"/>
                <w:szCs w:val="22"/>
                <w:lang w:val="vi-VN"/>
              </w:rPr>
              <w:t>- Lưu: VT, VX2.</w:t>
            </w:r>
          </w:p>
          <w:p w14:paraId="2596A6FF">
            <w:pPr>
              <w:pStyle w:val="9"/>
              <w:spacing w:before="0" w:beforeAutospacing="0" w:after="0" w:afterAutospacing="0"/>
              <w:rPr>
                <w:color w:val="222222"/>
                <w:sz w:val="28"/>
                <w:szCs w:val="28"/>
                <w:lang w:val="vi-VN"/>
              </w:rPr>
            </w:pPr>
          </w:p>
        </w:tc>
        <w:tc>
          <w:tcPr>
            <w:tcW w:w="3748" w:type="dxa"/>
            <w:gridSpan w:val="2"/>
            <w:tcMar>
              <w:top w:w="45" w:type="dxa"/>
              <w:left w:w="45" w:type="dxa"/>
              <w:bottom w:w="45" w:type="dxa"/>
              <w:right w:w="45" w:type="dxa"/>
            </w:tcMar>
          </w:tcPr>
          <w:p w14:paraId="1F915AA8">
            <w:pPr>
              <w:pStyle w:val="9"/>
              <w:spacing w:before="0" w:beforeAutospacing="0" w:after="0" w:afterAutospacing="0"/>
              <w:ind w:left="-1543" w:firstLine="1542"/>
              <w:jc w:val="center"/>
              <w:rPr>
                <w:b/>
                <w:bCs/>
                <w:color w:val="222222"/>
                <w:sz w:val="28"/>
                <w:szCs w:val="28"/>
                <w:lang w:val="vi-VN"/>
              </w:rPr>
            </w:pPr>
            <w:r>
              <w:rPr>
                <w:b/>
                <w:bCs/>
                <w:color w:val="222222"/>
                <w:sz w:val="28"/>
                <w:szCs w:val="28"/>
                <w:lang w:val="vi-VN"/>
              </w:rPr>
              <w:t>TM. ỦY BAN NHÂN DÂN</w:t>
            </w:r>
          </w:p>
          <w:p w14:paraId="264FA697">
            <w:pPr>
              <w:pStyle w:val="9"/>
              <w:spacing w:before="0" w:beforeAutospacing="0" w:after="0" w:afterAutospacing="0"/>
              <w:ind w:left="-1543" w:firstLine="1542"/>
              <w:jc w:val="center"/>
              <w:rPr>
                <w:b/>
                <w:bCs/>
                <w:color w:val="222222"/>
                <w:sz w:val="28"/>
                <w:szCs w:val="28"/>
                <w:lang w:val="vi-VN"/>
              </w:rPr>
            </w:pPr>
            <w:r>
              <w:rPr>
                <w:b/>
                <w:bCs/>
                <w:color w:val="222222"/>
                <w:sz w:val="28"/>
                <w:szCs w:val="28"/>
                <w:lang w:val="vi-VN"/>
              </w:rPr>
              <w:t>KT. CHỦ TỊCH</w:t>
            </w:r>
          </w:p>
          <w:p w14:paraId="58B6B43D">
            <w:pPr>
              <w:pStyle w:val="9"/>
              <w:spacing w:before="0" w:beforeAutospacing="0" w:after="0" w:afterAutospacing="0"/>
              <w:ind w:left="-1543" w:firstLine="1542"/>
              <w:jc w:val="center"/>
              <w:rPr>
                <w:color w:val="222222"/>
                <w:sz w:val="28"/>
                <w:szCs w:val="28"/>
                <w:lang w:val="vi-VN"/>
              </w:rPr>
            </w:pPr>
            <w:r>
              <w:rPr>
                <w:b/>
                <w:bCs/>
                <w:color w:val="222222"/>
                <w:sz w:val="28"/>
                <w:szCs w:val="28"/>
                <w:lang w:val="vi-VN"/>
              </w:rPr>
              <w:t>PHÓ CHỦ TỊCH</w:t>
            </w:r>
          </w:p>
          <w:p w14:paraId="742D69A4">
            <w:pPr>
              <w:pStyle w:val="9"/>
              <w:spacing w:before="0" w:beforeAutospacing="0" w:after="0" w:afterAutospacing="0"/>
              <w:ind w:left="-1543" w:firstLine="1542"/>
              <w:jc w:val="center"/>
              <w:rPr>
                <w:color w:val="222222"/>
                <w:sz w:val="28"/>
                <w:szCs w:val="28"/>
                <w:lang w:val="vi-VN"/>
              </w:rPr>
            </w:pPr>
          </w:p>
          <w:p w14:paraId="0D3A9E7C">
            <w:pPr>
              <w:pStyle w:val="9"/>
              <w:spacing w:before="0" w:beforeAutospacing="0" w:after="0" w:afterAutospacing="0"/>
              <w:ind w:left="-1543" w:firstLine="1542"/>
              <w:jc w:val="center"/>
              <w:rPr>
                <w:color w:val="222222"/>
                <w:sz w:val="28"/>
                <w:szCs w:val="28"/>
                <w:lang w:val="vi-VN"/>
              </w:rPr>
            </w:pPr>
          </w:p>
          <w:p w14:paraId="11BC09C7">
            <w:pPr>
              <w:pStyle w:val="9"/>
              <w:spacing w:before="0" w:beforeAutospacing="0" w:after="0" w:afterAutospacing="0"/>
              <w:ind w:left="-1543" w:firstLine="1542"/>
              <w:jc w:val="center"/>
              <w:rPr>
                <w:color w:val="222222"/>
                <w:sz w:val="28"/>
                <w:szCs w:val="28"/>
                <w:lang w:val="vi-VN"/>
              </w:rPr>
            </w:pPr>
          </w:p>
          <w:p w14:paraId="1CDEAFB9">
            <w:pPr>
              <w:pStyle w:val="9"/>
              <w:spacing w:before="0" w:beforeAutospacing="0" w:after="0" w:afterAutospacing="0"/>
              <w:rPr>
                <w:color w:val="222222"/>
                <w:sz w:val="28"/>
                <w:szCs w:val="28"/>
                <w:lang w:val="vi-VN"/>
              </w:rPr>
            </w:pPr>
          </w:p>
          <w:p w14:paraId="26081A49">
            <w:pPr>
              <w:pStyle w:val="9"/>
              <w:spacing w:before="0" w:beforeAutospacing="0" w:after="0" w:afterAutospacing="0"/>
              <w:ind w:left="-1543" w:firstLine="1542"/>
              <w:jc w:val="center"/>
              <w:rPr>
                <w:color w:val="222222"/>
                <w:sz w:val="28"/>
                <w:szCs w:val="28"/>
                <w:lang w:val="vi-VN"/>
              </w:rPr>
            </w:pPr>
          </w:p>
          <w:p w14:paraId="1FE52056">
            <w:pPr>
              <w:pStyle w:val="9"/>
              <w:spacing w:before="0" w:beforeAutospacing="0" w:after="0" w:afterAutospacing="0"/>
              <w:ind w:left="-1543" w:firstLine="1542"/>
              <w:jc w:val="center"/>
              <w:rPr>
                <w:b/>
                <w:bCs/>
                <w:color w:val="222222"/>
                <w:sz w:val="28"/>
                <w:szCs w:val="28"/>
                <w:lang w:val="vi-VN"/>
              </w:rPr>
            </w:pPr>
            <w:r>
              <w:rPr>
                <w:b/>
                <w:bCs/>
                <w:color w:val="222222"/>
                <w:sz w:val="28"/>
                <w:szCs w:val="28"/>
                <w:lang w:val="vi-VN"/>
              </w:rPr>
              <w:t>Nguyễn Thị Nguyệt</w:t>
            </w:r>
          </w:p>
        </w:tc>
      </w:tr>
      <w:tr w14:paraId="3CC5E571">
        <w:tblPrEx>
          <w:tblCellMar>
            <w:top w:w="0" w:type="dxa"/>
            <w:left w:w="0" w:type="dxa"/>
            <w:bottom w:w="0" w:type="dxa"/>
            <w:right w:w="0" w:type="dxa"/>
          </w:tblCellMar>
        </w:tblPrEx>
        <w:trPr>
          <w:gridAfter w:val="1"/>
          <w:wAfter w:w="58" w:type="dxa"/>
          <w:trHeight w:val="20" w:hRule="atLeast"/>
        </w:trPr>
        <w:tc>
          <w:tcPr>
            <w:tcW w:w="3402" w:type="dxa"/>
            <w:tcMar>
              <w:top w:w="45" w:type="dxa"/>
              <w:left w:w="45" w:type="dxa"/>
              <w:bottom w:w="45" w:type="dxa"/>
              <w:right w:w="45" w:type="dxa"/>
            </w:tcMar>
          </w:tcPr>
          <w:p w14:paraId="588AB527">
            <w:pPr>
              <w:pStyle w:val="9"/>
              <w:spacing w:before="0" w:beforeAutospacing="0" w:after="0" w:afterAutospacing="0"/>
              <w:jc w:val="center"/>
              <w:rPr>
                <w:color w:val="222222"/>
                <w:sz w:val="26"/>
                <w:szCs w:val="26"/>
                <w:lang w:val="vi-VN"/>
              </w:rPr>
            </w:pPr>
            <w:r>
              <w:rPr>
                <w:b/>
                <w:bCs/>
                <w:color w:val="222222"/>
                <w:sz w:val="26"/>
                <w:szCs w:val="26"/>
                <w:lang w:val="vi-VN"/>
              </w:rPr>
              <w:t>ỦY BAN NHÂN DÂN</w:t>
            </w:r>
            <w:r>
              <w:rPr>
                <w:color w:val="222222"/>
                <w:sz w:val="26"/>
                <w:szCs w:val="26"/>
                <w:lang w:val="vi-VN"/>
              </w:rPr>
              <w:br w:type="textWrapping"/>
            </w:r>
            <w:r>
              <w:rPr>
                <w:b/>
                <w:bCs/>
                <w:color w:val="222222"/>
                <w:sz w:val="26"/>
                <w:szCs w:val="26"/>
                <w:lang w:val="vi-VN"/>
              </w:rPr>
              <w:t>TỈNH HÀ TĨNH</w:t>
            </w:r>
          </w:p>
          <w:p w14:paraId="5C5488BC">
            <w:pPr>
              <w:pStyle w:val="9"/>
              <w:spacing w:before="0" w:beforeAutospacing="0" w:after="0" w:afterAutospacing="0"/>
              <w:jc w:val="center"/>
              <w:rPr>
                <w:color w:val="222222"/>
                <w:sz w:val="28"/>
                <w:szCs w:val="28"/>
              </w:rPr>
            </w:pPr>
            <w:r>
              <w:rPr>
                <w:color w:val="222222"/>
                <w:sz w:val="28"/>
                <w:szCs w:val="28"/>
              </w:rPr>
              <mc:AlternateContent>
                <mc:Choice Requires="wps">
                  <w:drawing>
                    <wp:anchor distT="0" distB="0" distL="114300" distR="114300" simplePos="0" relativeHeight="251662336" behindDoc="0" locked="0" layoutInCell="1" allowOverlap="1">
                      <wp:simplePos x="0" y="0"/>
                      <wp:positionH relativeFrom="column">
                        <wp:posOffset>656590</wp:posOffset>
                      </wp:positionH>
                      <wp:positionV relativeFrom="paragraph">
                        <wp:posOffset>36195</wp:posOffset>
                      </wp:positionV>
                      <wp:extent cx="639445" cy="0"/>
                      <wp:effectExtent l="0" t="0" r="0" b="0"/>
                      <wp:wrapNone/>
                      <wp:docPr id="1349643566" name="Straight Connector 4"/>
                      <wp:cNvGraphicFramePr/>
                      <a:graphic xmlns:a="http://schemas.openxmlformats.org/drawingml/2006/main">
                        <a:graphicData uri="http://schemas.microsoft.com/office/word/2010/wordprocessingShape">
                          <wps:wsp>
                            <wps:cNvCnPr/>
                            <wps:spPr>
                              <a:xfrm>
                                <a:off x="0" y="0"/>
                                <a:ext cx="63955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o:spt="20" style="position:absolute;left:0pt;margin-left:51.7pt;margin-top:2.85pt;height:0pt;width:50.35pt;z-index:251662336;mso-width-relative:page;mso-height-relative:page;" filled="f" stroked="t" coordsize="21600,21600" o:gfxdata="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H/64QLTAAAABwEA&#10;AA8AAAAAAAAAAQAgAAAAIgAAAGRycy9kb3ducmV2LnhtbFBLAQIUABQAAAAIAIdO4kBin53p5gEA&#10;AN4DAAAOAAAAAAAAAAEAIAAAACIBAABkcnMvZTJvRG9jLnhtbFBLBQYAAAAABgAGAFkBAAB6BQAA&#10;AAA=&#10;">
                      <v:fill on="f" focussize="0,0"/>
                      <v:stroke color="#000000 [3200]" joinstyle="round"/>
                      <v:imagedata o:title=""/>
                      <o:lock v:ext="edit" aspectratio="f"/>
                    </v:line>
                  </w:pict>
                </mc:Fallback>
              </mc:AlternateContent>
            </w:r>
          </w:p>
        </w:tc>
        <w:tc>
          <w:tcPr>
            <w:tcW w:w="5770" w:type="dxa"/>
            <w:gridSpan w:val="2"/>
            <w:tcMar>
              <w:top w:w="45" w:type="dxa"/>
              <w:left w:w="45" w:type="dxa"/>
              <w:bottom w:w="45" w:type="dxa"/>
              <w:right w:w="45" w:type="dxa"/>
            </w:tcMar>
          </w:tcPr>
          <w:p w14:paraId="320E7FE5">
            <w:pPr>
              <w:pStyle w:val="9"/>
              <w:spacing w:before="0" w:beforeAutospacing="0" w:after="0" w:afterAutospacing="0"/>
              <w:jc w:val="center"/>
              <w:rPr>
                <w:color w:val="222222"/>
                <w:sz w:val="28"/>
                <w:szCs w:val="28"/>
              </w:rPr>
            </w:pPr>
            <w:r>
              <w:rPr>
                <w:b/>
                <w:bCs/>
                <w:color w:val="222222"/>
                <w:sz w:val="26"/>
                <w:szCs w:val="26"/>
              </w:rPr>
              <w:t>CỘNG HÒA XÃ HỘI CHỦ NGHĨA VIỆT NAM</w:t>
            </w:r>
            <w:r>
              <w:rPr>
                <w:color w:val="222222"/>
                <w:sz w:val="28"/>
                <w:szCs w:val="28"/>
              </w:rPr>
              <w:br w:type="textWrapping"/>
            </w:r>
            <w:r>
              <w:rPr>
                <w:b/>
                <w:bCs/>
                <w:color w:val="222222"/>
                <w:sz w:val="28"/>
                <w:szCs w:val="28"/>
              </w:rPr>
              <w:t>Độc lập - Tự do - Hạnh phúc</w:t>
            </w:r>
          </w:p>
          <w:p w14:paraId="714D47BC">
            <w:pPr>
              <w:pStyle w:val="9"/>
              <w:spacing w:before="0" w:beforeAutospacing="0" w:after="0" w:afterAutospacing="0"/>
              <w:jc w:val="center"/>
              <w:rPr>
                <w:color w:val="222222"/>
                <w:sz w:val="28"/>
                <w:szCs w:val="28"/>
              </w:rPr>
            </w:pPr>
            <w:r>
              <w:rPr>
                <w:color w:val="222222"/>
                <w:sz w:val="28"/>
                <w:szCs w:val="28"/>
              </w:rPr>
              <mc:AlternateContent>
                <mc:Choice Requires="wps">
                  <w:drawing>
                    <wp:anchor distT="0" distB="0" distL="114300" distR="114300" simplePos="0" relativeHeight="251663360" behindDoc="0" locked="0" layoutInCell="1" allowOverlap="1">
                      <wp:simplePos x="0" y="0"/>
                      <wp:positionH relativeFrom="column">
                        <wp:posOffset>858520</wp:posOffset>
                      </wp:positionH>
                      <wp:positionV relativeFrom="paragraph">
                        <wp:posOffset>37465</wp:posOffset>
                      </wp:positionV>
                      <wp:extent cx="1760220" cy="10795"/>
                      <wp:effectExtent l="0" t="0" r="31115" b="27940"/>
                      <wp:wrapNone/>
                      <wp:docPr id="472207996" name="Straight Connector 5"/>
                      <wp:cNvGraphicFramePr/>
                      <a:graphic xmlns:a="http://schemas.openxmlformats.org/drawingml/2006/main">
                        <a:graphicData uri="http://schemas.microsoft.com/office/word/2010/wordprocessingShape">
                          <wps:wsp>
                            <wps:cNvCnPr/>
                            <wps:spPr>
                              <a:xfrm>
                                <a:off x="0" y="0"/>
                                <a:ext cx="1760088" cy="1057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 o:spid="_x0000_s1026" o:spt="20" style="position:absolute;left:0pt;margin-left:67.6pt;margin-top:2.95pt;height:0.85pt;width:138.6pt;z-index:251663360;mso-width-relative:page;mso-height-relative:page;" filled="f" stroked="t" coordsize="21600,21600" o:gfxdata="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8Jsu1wAAAAcBAAAPAAAAAAAAAAEAIAAAACIAAABkcnMvZG93bnJldi54bWxQSwECFAAUAAAA&#10;CACHTuJAT3E2n+8BAADiAwAADgAAAAAAAAABACAAAAAmAQAAZHJzL2Uyb0RvYy54bWxQSwUGAAAA&#10;AAYABgBZAQAAhwUAAAAA&#10;">
                      <v:fill on="f" focussize="0,0"/>
                      <v:stroke color="#4A7EBB [3204]" joinstyle="round"/>
                      <v:imagedata o:title=""/>
                      <o:lock v:ext="edit" aspectratio="f"/>
                    </v:line>
                  </w:pict>
                </mc:Fallback>
              </mc:AlternateContent>
            </w:r>
          </w:p>
        </w:tc>
      </w:tr>
    </w:tbl>
    <w:p w14:paraId="0EFFFA58">
      <w:pPr>
        <w:pStyle w:val="9"/>
        <w:spacing w:before="0" w:beforeAutospacing="0" w:after="0" w:afterAutospacing="0"/>
        <w:jc w:val="both"/>
        <w:rPr>
          <w:color w:val="222222"/>
          <w:sz w:val="28"/>
          <w:szCs w:val="28"/>
        </w:rPr>
      </w:pPr>
    </w:p>
    <w:p w14:paraId="50A8CECF">
      <w:pPr>
        <w:pStyle w:val="9"/>
        <w:spacing w:before="0" w:beforeAutospacing="0" w:after="0" w:afterAutospacing="0"/>
        <w:jc w:val="center"/>
        <w:rPr>
          <w:rStyle w:val="5"/>
          <w:color w:val="222222"/>
          <w:sz w:val="28"/>
          <w:szCs w:val="28"/>
        </w:rPr>
      </w:pPr>
      <w:r>
        <w:rPr>
          <w:b/>
          <w:bCs/>
          <w:color w:val="222222"/>
          <w:sz w:val="28"/>
          <w:szCs w:val="28"/>
        </w:rPr>
        <w:t>QUY CHẾ</w:t>
      </w:r>
      <w:r>
        <w:rPr>
          <w:color w:val="222222"/>
          <w:sz w:val="28"/>
          <w:szCs w:val="28"/>
        </w:rPr>
        <w:br w:type="textWrapping"/>
      </w:r>
      <w:r>
        <w:rPr>
          <w:b/>
          <w:bCs/>
          <w:color w:val="222222"/>
          <w:sz w:val="28"/>
          <w:szCs w:val="28"/>
        </w:rPr>
        <w:t>Quản lý công trình ghi công liệt sĩ, mộ liệt sĩ trên địa bàn tỉnh</w:t>
      </w:r>
      <w:r>
        <w:rPr>
          <w:b/>
          <w:bCs/>
          <w:color w:val="222222"/>
          <w:sz w:val="28"/>
          <w:szCs w:val="28"/>
          <w:lang w:val="vi-VN"/>
        </w:rPr>
        <w:t xml:space="preserve"> Hà Tĩnh</w:t>
      </w:r>
      <w:r>
        <w:rPr>
          <w:color w:val="222222"/>
          <w:sz w:val="28"/>
          <w:szCs w:val="28"/>
        </w:rPr>
        <w:br w:type="textWrapping"/>
      </w:r>
      <w:r>
        <w:rPr>
          <w:rStyle w:val="5"/>
          <w:color w:val="222222"/>
          <w:sz w:val="28"/>
          <w:szCs w:val="28"/>
        </w:rPr>
        <w:t xml:space="preserve">(Kèm theo Quyết định số </w:t>
      </w:r>
      <w:r>
        <w:rPr>
          <w:rStyle w:val="5"/>
          <w:color w:val="222222"/>
          <w:sz w:val="28"/>
          <w:szCs w:val="28"/>
          <w:lang w:val="vi-VN"/>
        </w:rPr>
        <w:t xml:space="preserve">    </w:t>
      </w:r>
      <w:r>
        <w:rPr>
          <w:rStyle w:val="5"/>
          <w:color w:val="222222"/>
          <w:sz w:val="28"/>
          <w:szCs w:val="28"/>
        </w:rPr>
        <w:t xml:space="preserve">/2026/QĐ-UBND ngày </w:t>
      </w:r>
      <w:r>
        <w:rPr>
          <w:rStyle w:val="5"/>
          <w:color w:val="222222"/>
          <w:sz w:val="28"/>
          <w:szCs w:val="28"/>
          <w:lang w:val="vi-VN"/>
        </w:rPr>
        <w:t>…..</w:t>
      </w:r>
      <w:r>
        <w:rPr>
          <w:rStyle w:val="5"/>
          <w:color w:val="222222"/>
          <w:sz w:val="28"/>
          <w:szCs w:val="28"/>
        </w:rPr>
        <w:t>/</w:t>
      </w:r>
      <w:r>
        <w:rPr>
          <w:rStyle w:val="5"/>
          <w:color w:val="222222"/>
          <w:sz w:val="28"/>
          <w:szCs w:val="28"/>
          <w:lang w:val="vi-VN"/>
        </w:rPr>
        <w:t>….</w:t>
      </w:r>
      <w:r>
        <w:rPr>
          <w:rStyle w:val="5"/>
          <w:color w:val="222222"/>
          <w:sz w:val="28"/>
          <w:szCs w:val="28"/>
        </w:rPr>
        <w:t xml:space="preserve">/2026 </w:t>
      </w:r>
    </w:p>
    <w:p w14:paraId="0D33B0BA">
      <w:pPr>
        <w:pStyle w:val="9"/>
        <w:spacing w:before="0" w:beforeAutospacing="0" w:after="0" w:afterAutospacing="0"/>
        <w:jc w:val="center"/>
        <w:rPr>
          <w:color w:val="222222"/>
          <w:sz w:val="28"/>
          <w:szCs w:val="28"/>
        </w:rPr>
      </w:pPr>
      <w:r>
        <w:rPr>
          <w:rStyle w:val="5"/>
          <w:color w:val="222222"/>
          <w:sz w:val="28"/>
          <w:szCs w:val="28"/>
        </w:rPr>
        <w:t>của Ủy ban nhân dân tỉnh</w:t>
      </w:r>
      <w:r>
        <w:rPr>
          <w:rStyle w:val="5"/>
          <w:color w:val="222222"/>
          <w:sz w:val="28"/>
          <w:szCs w:val="28"/>
          <w:lang w:val="vi-VN"/>
        </w:rPr>
        <w:t xml:space="preserve"> Hà Tĩnh</w:t>
      </w:r>
      <w:r>
        <w:rPr>
          <w:rStyle w:val="5"/>
          <w:color w:val="222222"/>
          <w:sz w:val="28"/>
          <w:szCs w:val="28"/>
        </w:rPr>
        <w:t>)</w:t>
      </w:r>
    </w:p>
    <w:p w14:paraId="13F1AD04">
      <w:pPr>
        <w:pStyle w:val="9"/>
        <w:spacing w:before="0" w:beforeAutospacing="0" w:after="0" w:afterAutospacing="0"/>
        <w:jc w:val="center"/>
        <w:rPr>
          <w:b/>
          <w:bCs/>
          <w:color w:val="222222"/>
          <w:sz w:val="28"/>
          <w:szCs w:val="28"/>
        </w:rPr>
      </w:pPr>
    </w:p>
    <w:p w14:paraId="571D1E45">
      <w:pPr>
        <w:pStyle w:val="9"/>
        <w:spacing w:before="0" w:beforeAutospacing="0" w:after="0" w:afterAutospacing="0"/>
        <w:jc w:val="center"/>
        <w:rPr>
          <w:color w:val="222222"/>
          <w:sz w:val="28"/>
          <w:szCs w:val="28"/>
        </w:rPr>
      </w:pPr>
      <w:r>
        <w:rPr>
          <w:b/>
          <w:bCs/>
          <w:color w:val="222222"/>
          <w:sz w:val="28"/>
          <w:szCs w:val="28"/>
        </w:rPr>
        <w:t>Chương I</w:t>
      </w:r>
    </w:p>
    <w:p w14:paraId="131F1A0E">
      <w:pPr>
        <w:pStyle w:val="9"/>
        <w:spacing w:before="0" w:beforeAutospacing="0" w:after="0" w:afterAutospacing="0"/>
        <w:jc w:val="center"/>
        <w:rPr>
          <w:color w:val="222222"/>
          <w:sz w:val="28"/>
          <w:szCs w:val="28"/>
        </w:rPr>
      </w:pPr>
      <w:r>
        <w:rPr>
          <w:b/>
          <w:bCs/>
          <w:color w:val="222222"/>
          <w:sz w:val="28"/>
          <w:szCs w:val="28"/>
        </w:rPr>
        <w:t>QUY ĐỊNH CHUNG</w:t>
      </w:r>
    </w:p>
    <w:p w14:paraId="2B374E86">
      <w:pPr>
        <w:pStyle w:val="9"/>
        <w:spacing w:before="120" w:beforeAutospacing="0" w:after="120" w:afterAutospacing="0" w:line="320" w:lineRule="exact"/>
        <w:ind w:firstLine="567"/>
        <w:jc w:val="both"/>
        <w:rPr>
          <w:color w:val="222222"/>
          <w:sz w:val="28"/>
          <w:szCs w:val="28"/>
        </w:rPr>
      </w:pPr>
      <w:r>
        <w:rPr>
          <w:b/>
          <w:bCs/>
          <w:color w:val="222222"/>
          <w:sz w:val="28"/>
          <w:szCs w:val="28"/>
        </w:rPr>
        <w:t>Điều 1. Phạm vi điều chỉnh</w:t>
      </w:r>
    </w:p>
    <w:p w14:paraId="03CC3071">
      <w:pPr>
        <w:pStyle w:val="9"/>
        <w:spacing w:before="120" w:beforeAutospacing="0" w:after="120" w:afterAutospacing="0" w:line="320" w:lineRule="exact"/>
        <w:ind w:firstLine="567"/>
        <w:jc w:val="both"/>
        <w:rPr>
          <w:color w:val="222222"/>
          <w:sz w:val="28"/>
          <w:szCs w:val="28"/>
        </w:rPr>
      </w:pPr>
      <w:r>
        <w:rPr>
          <w:color w:val="222222"/>
          <w:sz w:val="28"/>
          <w:szCs w:val="28"/>
        </w:rPr>
        <w:t>Quy chế này quy định việc quản lý công trình ghi công liệt sĩ, mộ liệt sĩ trên địa bàn tỉnh</w:t>
      </w:r>
      <w:r>
        <w:rPr>
          <w:color w:val="222222"/>
          <w:sz w:val="28"/>
          <w:szCs w:val="28"/>
          <w:lang w:val="vi-VN"/>
        </w:rPr>
        <w:t xml:space="preserve"> Hà Tĩnh</w:t>
      </w:r>
      <w:r>
        <w:rPr>
          <w:color w:val="222222"/>
          <w:sz w:val="28"/>
          <w:szCs w:val="28"/>
        </w:rPr>
        <w:t>.</w:t>
      </w:r>
    </w:p>
    <w:p w14:paraId="4B6B16A6">
      <w:pPr>
        <w:pStyle w:val="9"/>
        <w:spacing w:before="120" w:beforeAutospacing="0" w:after="120" w:afterAutospacing="0" w:line="320" w:lineRule="exact"/>
        <w:ind w:firstLine="567"/>
        <w:jc w:val="both"/>
        <w:rPr>
          <w:color w:val="222222"/>
          <w:sz w:val="28"/>
          <w:szCs w:val="28"/>
        </w:rPr>
      </w:pPr>
      <w:r>
        <w:rPr>
          <w:b/>
          <w:bCs/>
          <w:color w:val="222222"/>
          <w:sz w:val="28"/>
          <w:szCs w:val="28"/>
        </w:rPr>
        <w:t>Điều 2. Đối tượng áp dụng</w:t>
      </w:r>
    </w:p>
    <w:p w14:paraId="6650AF9A">
      <w:pPr>
        <w:pStyle w:val="9"/>
        <w:spacing w:before="120" w:beforeAutospacing="0" w:after="120" w:afterAutospacing="0" w:line="320" w:lineRule="exact"/>
        <w:ind w:firstLine="567"/>
        <w:jc w:val="both"/>
        <w:rPr>
          <w:color w:val="222222"/>
          <w:sz w:val="28"/>
          <w:szCs w:val="28"/>
        </w:rPr>
      </w:pPr>
      <w:r>
        <w:rPr>
          <w:color w:val="222222"/>
          <w:sz w:val="28"/>
          <w:szCs w:val="28"/>
        </w:rPr>
        <w:t>Các sở, ban, ngành</w:t>
      </w:r>
      <w:r>
        <w:rPr>
          <w:color w:val="222222"/>
          <w:sz w:val="28"/>
          <w:szCs w:val="28"/>
          <w:lang w:val="vi-VN"/>
        </w:rPr>
        <w:t>, đoàn thể cấp tỉnh</w:t>
      </w:r>
      <w:r>
        <w:rPr>
          <w:color w:val="222222"/>
          <w:sz w:val="28"/>
          <w:szCs w:val="28"/>
        </w:rPr>
        <w:t>; Uỷ</w:t>
      </w:r>
      <w:r>
        <w:rPr>
          <w:color w:val="222222"/>
          <w:sz w:val="28"/>
          <w:szCs w:val="28"/>
          <w:lang w:val="vi-VN"/>
        </w:rPr>
        <w:t xml:space="preserve"> ban nhân dân</w:t>
      </w:r>
      <w:r>
        <w:rPr>
          <w:color w:val="222222"/>
          <w:sz w:val="28"/>
          <w:szCs w:val="28"/>
        </w:rPr>
        <w:t xml:space="preserve"> các xã, phường (sau đây gọi chung là UBND cấp xã) và các tổ chức, cá nhân liên quan đến quản lý các công trình ghi công liệt sĩ, mộ liệt sĩ trên địa bàn tỉnh</w:t>
      </w:r>
      <w:r>
        <w:rPr>
          <w:color w:val="222222"/>
          <w:sz w:val="28"/>
          <w:szCs w:val="28"/>
          <w:lang w:val="vi-VN"/>
        </w:rPr>
        <w:t xml:space="preserve"> Hà Tĩnh</w:t>
      </w:r>
      <w:r>
        <w:rPr>
          <w:color w:val="222222"/>
          <w:sz w:val="28"/>
          <w:szCs w:val="28"/>
        </w:rPr>
        <w:t>.</w:t>
      </w:r>
    </w:p>
    <w:p w14:paraId="406D83DB">
      <w:pPr>
        <w:pStyle w:val="9"/>
        <w:spacing w:before="0" w:beforeAutospacing="0" w:after="0" w:afterAutospacing="0"/>
        <w:ind w:firstLine="567"/>
        <w:jc w:val="center"/>
        <w:rPr>
          <w:color w:val="222222"/>
          <w:sz w:val="28"/>
          <w:szCs w:val="28"/>
        </w:rPr>
      </w:pPr>
      <w:r>
        <w:rPr>
          <w:b/>
          <w:bCs/>
          <w:color w:val="222222"/>
          <w:sz w:val="28"/>
          <w:szCs w:val="28"/>
        </w:rPr>
        <w:t>Chương II</w:t>
      </w:r>
    </w:p>
    <w:p w14:paraId="42B0D5C6">
      <w:pPr>
        <w:pStyle w:val="9"/>
        <w:spacing w:before="0" w:beforeAutospacing="0" w:after="0" w:afterAutospacing="0"/>
        <w:ind w:firstLine="567"/>
        <w:jc w:val="center"/>
        <w:rPr>
          <w:color w:val="222222"/>
          <w:sz w:val="28"/>
          <w:szCs w:val="28"/>
        </w:rPr>
      </w:pPr>
      <w:r>
        <w:rPr>
          <w:b/>
          <w:bCs/>
          <w:color w:val="222222"/>
          <w:sz w:val="28"/>
          <w:szCs w:val="28"/>
        </w:rPr>
        <w:t>QUY ĐỊNH CỤ THỂ</w:t>
      </w:r>
    </w:p>
    <w:p w14:paraId="5B4E9140">
      <w:pPr>
        <w:pStyle w:val="9"/>
        <w:spacing w:before="0" w:beforeAutospacing="0" w:after="0" w:afterAutospacing="0"/>
        <w:ind w:firstLine="567"/>
        <w:jc w:val="center"/>
        <w:rPr>
          <w:color w:val="222222"/>
          <w:sz w:val="28"/>
          <w:szCs w:val="28"/>
        </w:rPr>
      </w:pPr>
    </w:p>
    <w:p w14:paraId="70210534">
      <w:pPr>
        <w:pStyle w:val="9"/>
        <w:spacing w:before="120" w:beforeAutospacing="0" w:after="120" w:afterAutospacing="0" w:line="320" w:lineRule="exact"/>
        <w:ind w:firstLine="567"/>
        <w:jc w:val="both"/>
        <w:rPr>
          <w:color w:val="222222"/>
          <w:sz w:val="28"/>
          <w:szCs w:val="28"/>
        </w:rPr>
      </w:pPr>
      <w:r>
        <w:rPr>
          <w:b/>
          <w:bCs/>
          <w:color w:val="222222"/>
          <w:sz w:val="28"/>
          <w:szCs w:val="28"/>
        </w:rPr>
        <w:t>Điều 3. Trách nhiệm quản lý công trình ghi công liệt sĩ, mộ liệt sĩ</w:t>
      </w:r>
    </w:p>
    <w:p w14:paraId="3DD19FD7">
      <w:pPr>
        <w:pStyle w:val="9"/>
        <w:spacing w:before="120" w:beforeAutospacing="0" w:after="120" w:afterAutospacing="0" w:line="320" w:lineRule="exact"/>
        <w:ind w:firstLine="567"/>
        <w:jc w:val="both"/>
        <w:rPr>
          <w:color w:val="222222"/>
          <w:sz w:val="28"/>
          <w:szCs w:val="28"/>
        </w:rPr>
      </w:pPr>
      <w:r>
        <w:rPr>
          <w:color w:val="222222"/>
          <w:sz w:val="28"/>
          <w:szCs w:val="28"/>
        </w:rPr>
        <w:t>1. Sở Nội vụ:</w:t>
      </w:r>
    </w:p>
    <w:p w14:paraId="2DEDD000">
      <w:pPr>
        <w:pStyle w:val="9"/>
        <w:spacing w:before="120" w:beforeAutospacing="0" w:after="120" w:afterAutospacing="0" w:line="320" w:lineRule="exact"/>
        <w:ind w:firstLine="567"/>
        <w:jc w:val="both"/>
        <w:rPr>
          <w:color w:val="222222"/>
          <w:sz w:val="28"/>
          <w:szCs w:val="28"/>
          <w:lang w:val="vi-VN"/>
        </w:rPr>
      </w:pPr>
      <w:r>
        <w:rPr>
          <w:color w:val="222222"/>
          <w:sz w:val="28"/>
          <w:szCs w:val="28"/>
        </w:rPr>
        <w:t>Chịu trách nhiệm chủ trì, tham mưu UBND tỉnh</w:t>
      </w:r>
      <w:r>
        <w:rPr>
          <w:color w:val="222222"/>
          <w:sz w:val="28"/>
          <w:szCs w:val="28"/>
          <w:lang w:val="vi-VN"/>
        </w:rPr>
        <w:t xml:space="preserve"> </w:t>
      </w:r>
      <w:r>
        <w:rPr>
          <w:color w:val="222222"/>
          <w:sz w:val="28"/>
          <w:szCs w:val="28"/>
        </w:rPr>
        <w:t>công tác quản lý nhà nước về công trình ghi công liệt sĩ, mộ liệt sĩ trên địa bàn</w:t>
      </w:r>
      <w:r>
        <w:rPr>
          <w:color w:val="222222"/>
          <w:sz w:val="28"/>
          <w:szCs w:val="28"/>
          <w:lang w:val="vi-VN"/>
        </w:rPr>
        <w:t xml:space="preserve"> tỉnh Hà Tĩnh. Trực tiếp quản lý công trình ghi công liệt sĩ cấp tỉnh (nếu có).</w:t>
      </w:r>
    </w:p>
    <w:p w14:paraId="17516220">
      <w:pPr>
        <w:pStyle w:val="9"/>
        <w:spacing w:before="120" w:beforeAutospacing="0" w:after="120" w:afterAutospacing="0" w:line="320" w:lineRule="exact"/>
        <w:ind w:firstLine="567"/>
        <w:jc w:val="both"/>
        <w:rPr>
          <w:color w:val="222222"/>
          <w:sz w:val="28"/>
          <w:szCs w:val="28"/>
        </w:rPr>
      </w:pPr>
      <w:r>
        <w:rPr>
          <w:color w:val="222222"/>
          <w:sz w:val="28"/>
          <w:szCs w:val="28"/>
        </w:rPr>
        <w:t>2. Ủy ban nhân dân cấp xã:</w:t>
      </w:r>
    </w:p>
    <w:p w14:paraId="282E1C1A">
      <w:pPr>
        <w:pStyle w:val="9"/>
        <w:spacing w:before="120" w:beforeAutospacing="0" w:after="120" w:afterAutospacing="0" w:line="320" w:lineRule="exact"/>
        <w:ind w:firstLine="567"/>
        <w:jc w:val="both"/>
        <w:rPr>
          <w:color w:val="222222"/>
          <w:sz w:val="28"/>
          <w:szCs w:val="28"/>
        </w:rPr>
      </w:pPr>
      <w:r>
        <w:rPr>
          <w:color w:val="222222"/>
          <w:sz w:val="28"/>
          <w:szCs w:val="28"/>
        </w:rPr>
        <w:t>2.1. Trực tiếp quản lý và tổ chức thực hiện các nội dung về quản lý công trình ghi công liệt sĩ, mộ liệt sĩ trên địa bàn xã (trừ các công trình ghi công liệt sĩ trên địa bàn do tỉnh</w:t>
      </w:r>
      <w:r>
        <w:rPr>
          <w:color w:val="222222"/>
          <w:sz w:val="28"/>
          <w:szCs w:val="28"/>
          <w:lang w:val="vi-VN"/>
        </w:rPr>
        <w:t xml:space="preserve"> </w:t>
      </w:r>
      <w:r>
        <w:rPr>
          <w:color w:val="222222"/>
          <w:sz w:val="28"/>
          <w:szCs w:val="28"/>
        </w:rPr>
        <w:t>quản lý).</w:t>
      </w:r>
    </w:p>
    <w:p w14:paraId="0BF8C6F3">
      <w:pPr>
        <w:pStyle w:val="9"/>
        <w:spacing w:before="120" w:beforeAutospacing="0" w:after="120" w:afterAutospacing="0" w:line="320" w:lineRule="exact"/>
        <w:ind w:firstLine="567"/>
        <w:jc w:val="both"/>
        <w:rPr>
          <w:color w:val="222222"/>
          <w:sz w:val="28"/>
          <w:szCs w:val="28"/>
        </w:rPr>
      </w:pPr>
      <w:r>
        <w:rPr>
          <w:color w:val="222222"/>
          <w:sz w:val="28"/>
          <w:szCs w:val="28"/>
        </w:rPr>
        <w:t>2.2. Chỉ</w:t>
      </w:r>
      <w:r>
        <w:rPr>
          <w:color w:val="222222"/>
          <w:sz w:val="28"/>
          <w:szCs w:val="28"/>
          <w:lang w:val="vi-VN"/>
        </w:rPr>
        <w:t xml:space="preserve"> đạo </w:t>
      </w:r>
      <w:r>
        <w:rPr>
          <w:color w:val="222222"/>
          <w:sz w:val="28"/>
          <w:szCs w:val="28"/>
        </w:rPr>
        <w:t>Phòng Văn hóa - Xã hội tham mưu giúp UBND cấp xã thực hiện công tác quản lý nhà nước về công trình ghi công liệt sĩ, mộ liệt sĩ trên địa bàn</w:t>
      </w:r>
      <w:r>
        <w:rPr>
          <w:color w:val="222222"/>
          <w:sz w:val="28"/>
          <w:szCs w:val="28"/>
          <w:lang w:val="vi-VN"/>
        </w:rPr>
        <w:t xml:space="preserve"> xã</w:t>
      </w:r>
      <w:r>
        <w:rPr>
          <w:color w:val="222222"/>
          <w:sz w:val="28"/>
          <w:szCs w:val="28"/>
        </w:rPr>
        <w:t>.</w:t>
      </w:r>
    </w:p>
    <w:p w14:paraId="61F4FFEA">
      <w:pPr>
        <w:pStyle w:val="9"/>
        <w:spacing w:before="120" w:beforeAutospacing="0" w:after="120" w:afterAutospacing="0" w:line="320" w:lineRule="exact"/>
        <w:ind w:firstLine="567"/>
        <w:jc w:val="both"/>
        <w:rPr>
          <w:color w:val="222222"/>
          <w:sz w:val="28"/>
          <w:szCs w:val="28"/>
        </w:rPr>
      </w:pPr>
      <w:r>
        <w:rPr>
          <w:color w:val="222222"/>
          <w:sz w:val="28"/>
          <w:szCs w:val="28"/>
        </w:rPr>
        <w:t>2.3. Làm chủ đầu tư các dự án sửa chữa, duy tu, bảo dưỡng thường xuyên theo phân cấp ngân sách và quy định pháp luật.</w:t>
      </w:r>
    </w:p>
    <w:p w14:paraId="0F0A9139">
      <w:pPr>
        <w:pStyle w:val="9"/>
        <w:spacing w:before="120" w:beforeAutospacing="0" w:after="120" w:afterAutospacing="0" w:line="320" w:lineRule="exact"/>
        <w:ind w:firstLine="567"/>
        <w:jc w:val="both"/>
        <w:rPr>
          <w:color w:val="222222"/>
          <w:sz w:val="28"/>
          <w:szCs w:val="28"/>
        </w:rPr>
      </w:pPr>
      <w:r>
        <w:rPr>
          <w:color w:val="222222"/>
          <w:sz w:val="28"/>
          <w:szCs w:val="28"/>
        </w:rPr>
        <w:t>2.4. Cập nhật kịp</w:t>
      </w:r>
      <w:r>
        <w:rPr>
          <w:color w:val="222222"/>
          <w:sz w:val="28"/>
          <w:szCs w:val="28"/>
          <w:lang w:val="vi-VN"/>
        </w:rPr>
        <w:t xml:space="preserve"> thời, </w:t>
      </w:r>
      <w:r>
        <w:rPr>
          <w:color w:val="222222"/>
          <w:sz w:val="28"/>
          <w:szCs w:val="28"/>
        </w:rPr>
        <w:t>đầy đủ</w:t>
      </w:r>
      <w:r>
        <w:rPr>
          <w:color w:val="222222"/>
          <w:sz w:val="28"/>
          <w:szCs w:val="28"/>
          <w:lang w:val="vi-VN"/>
        </w:rPr>
        <w:t xml:space="preserve">, </w:t>
      </w:r>
      <w:r>
        <w:rPr>
          <w:color w:val="222222"/>
          <w:sz w:val="28"/>
          <w:szCs w:val="28"/>
        </w:rPr>
        <w:t>chính xác các thông tin biến động liên quan đến mộ liệt sĩ</w:t>
      </w:r>
      <w:r>
        <w:rPr>
          <w:color w:val="222222"/>
          <w:sz w:val="28"/>
          <w:szCs w:val="28"/>
          <w:lang w:val="vi-VN"/>
        </w:rPr>
        <w:t>;</w:t>
      </w:r>
      <w:r>
        <w:rPr>
          <w:color w:val="222222"/>
          <w:sz w:val="28"/>
          <w:szCs w:val="28"/>
        </w:rPr>
        <w:t xml:space="preserve"> hiện trạng công trình ghi công liệt sĩ và tên gọi các công trình ghi công liệt sĩ đang quản lý vào hệ thống cơ sở dữ liệu chung của</w:t>
      </w:r>
      <w:r>
        <w:rPr>
          <w:color w:val="222222"/>
          <w:sz w:val="28"/>
          <w:szCs w:val="28"/>
          <w:lang w:val="vi-VN"/>
        </w:rPr>
        <w:t xml:space="preserve"> tỉnh Hà Tĩnh</w:t>
      </w:r>
      <w:r>
        <w:rPr>
          <w:color w:val="222222"/>
          <w:sz w:val="28"/>
          <w:szCs w:val="28"/>
        </w:rPr>
        <w:t>.</w:t>
      </w:r>
    </w:p>
    <w:p w14:paraId="54C64AF3">
      <w:pPr>
        <w:pStyle w:val="9"/>
        <w:spacing w:before="120" w:beforeAutospacing="0" w:after="120" w:afterAutospacing="0" w:line="320" w:lineRule="exact"/>
        <w:ind w:firstLine="567"/>
        <w:jc w:val="both"/>
        <w:rPr>
          <w:color w:val="222222"/>
          <w:sz w:val="28"/>
          <w:szCs w:val="28"/>
        </w:rPr>
      </w:pPr>
      <w:r>
        <w:rPr>
          <w:color w:val="222222"/>
          <w:sz w:val="28"/>
          <w:szCs w:val="28"/>
        </w:rPr>
        <w:t>2.5. Thực hiện quy định tại Khoản 1, Khoản 2 Điều 35 Nghị định</w:t>
      </w:r>
      <w:r>
        <w:rPr>
          <w:color w:val="222222"/>
          <w:sz w:val="28"/>
          <w:szCs w:val="28"/>
          <w:lang w:val="vi-VN"/>
        </w:rPr>
        <w:t xml:space="preserve"> số 129/2025/NĐ-CP</w:t>
      </w:r>
      <w:r>
        <w:rPr>
          <w:color w:val="222222"/>
          <w:sz w:val="28"/>
          <w:szCs w:val="28"/>
        </w:rPr>
        <w:t> ngày 11/6/2025, cụ thể:</w:t>
      </w:r>
    </w:p>
    <w:p w14:paraId="641EBE55">
      <w:pPr>
        <w:pStyle w:val="9"/>
        <w:spacing w:before="120" w:beforeAutospacing="0" w:after="120" w:afterAutospacing="0" w:line="320" w:lineRule="exact"/>
        <w:ind w:firstLine="567"/>
        <w:jc w:val="both"/>
        <w:rPr>
          <w:color w:val="222222"/>
          <w:sz w:val="28"/>
          <w:szCs w:val="28"/>
        </w:rPr>
      </w:pPr>
      <w:r>
        <w:rPr>
          <w:color w:val="222222"/>
          <w:sz w:val="28"/>
          <w:szCs w:val="28"/>
        </w:rPr>
        <w:t xml:space="preserve">a) Lập sơ đồ nghĩa trang và vị trí mộ, quản lý hồ sơ mộ liệt sĩ (bao gồm thông tin mộ, vị trí mộ, biên bản bàn giao hài cốt liệt sĩ và các giấy tờ có liên quan đến phần mộ); </w:t>
      </w:r>
      <w:r>
        <w:rPr>
          <w:color w:val="222222"/>
          <w:sz w:val="28"/>
          <w:szCs w:val="28"/>
          <w:lang w:val="vi-VN"/>
        </w:rPr>
        <w:t>t</w:t>
      </w:r>
      <w:r>
        <w:rPr>
          <w:color w:val="222222"/>
          <w:sz w:val="28"/>
          <w:szCs w:val="28"/>
        </w:rPr>
        <w:t>ổng hợp danh sách mộ liệt</w:t>
      </w:r>
      <w:r>
        <w:rPr>
          <w:color w:val="222222"/>
          <w:sz w:val="28"/>
          <w:szCs w:val="28"/>
          <w:lang w:val="vi-VN"/>
        </w:rPr>
        <w:t xml:space="preserve"> sĩ </w:t>
      </w:r>
      <w:r>
        <w:rPr>
          <w:color w:val="222222"/>
          <w:sz w:val="28"/>
          <w:szCs w:val="28"/>
        </w:rPr>
        <w:t xml:space="preserve">trong nghĩa trang liệt sĩ theo </w:t>
      </w:r>
      <w:r>
        <w:rPr>
          <w:color w:val="222222"/>
          <w:sz w:val="28"/>
          <w:szCs w:val="28"/>
          <w:lang w:val="vi-VN"/>
        </w:rPr>
        <w:t>m</w:t>
      </w:r>
      <w:r>
        <w:rPr>
          <w:color w:val="222222"/>
          <w:sz w:val="28"/>
          <w:szCs w:val="28"/>
        </w:rPr>
        <w:t>ẫu quy định để lưu trữ</w:t>
      </w:r>
      <w:r>
        <w:rPr>
          <w:color w:val="222222"/>
          <w:sz w:val="28"/>
          <w:szCs w:val="28"/>
          <w:lang w:val="vi-VN"/>
        </w:rPr>
        <w:t xml:space="preserve">, quản lý </w:t>
      </w:r>
      <w:r>
        <w:rPr>
          <w:color w:val="222222"/>
          <w:sz w:val="28"/>
          <w:szCs w:val="28"/>
        </w:rPr>
        <w:t>và gửi Sở Nội vụ theo dõi, tổng hợp.</w:t>
      </w:r>
    </w:p>
    <w:p w14:paraId="0A78A1F7">
      <w:pPr>
        <w:pStyle w:val="9"/>
        <w:spacing w:before="120" w:beforeAutospacing="0" w:after="120" w:afterAutospacing="0" w:line="320" w:lineRule="exact"/>
        <w:ind w:firstLine="567"/>
        <w:jc w:val="both"/>
        <w:rPr>
          <w:color w:val="222222"/>
          <w:sz w:val="28"/>
          <w:szCs w:val="28"/>
        </w:rPr>
      </w:pPr>
      <w:r>
        <w:rPr>
          <w:color w:val="222222"/>
          <w:sz w:val="28"/>
          <w:szCs w:val="28"/>
        </w:rPr>
        <w:t>b) Quản lý sơ đồ nghĩa trang và vị trí mộ, hồ sơ mộ liệt sĩ.</w:t>
      </w:r>
    </w:p>
    <w:p w14:paraId="50EA4776">
      <w:pPr>
        <w:pStyle w:val="9"/>
        <w:spacing w:before="120" w:beforeAutospacing="0" w:after="120" w:afterAutospacing="0" w:line="320" w:lineRule="exact"/>
        <w:ind w:firstLine="567"/>
        <w:jc w:val="both"/>
        <w:rPr>
          <w:color w:val="222222"/>
          <w:sz w:val="28"/>
          <w:szCs w:val="28"/>
        </w:rPr>
      </w:pPr>
      <w:r>
        <w:rPr>
          <w:color w:val="222222"/>
          <w:sz w:val="28"/>
          <w:szCs w:val="28"/>
        </w:rPr>
        <w:t>c) Cập nhật thông tin trong danh sách quản lý mộ</w:t>
      </w:r>
      <w:r>
        <w:rPr>
          <w:color w:val="222222"/>
          <w:sz w:val="28"/>
          <w:szCs w:val="28"/>
          <w:lang w:val="vi-VN"/>
        </w:rPr>
        <w:t xml:space="preserve"> liệt sĩ</w:t>
      </w:r>
      <w:r>
        <w:rPr>
          <w:color w:val="222222"/>
          <w:sz w:val="28"/>
          <w:szCs w:val="28"/>
        </w:rPr>
        <w:t xml:space="preserve"> và báo cáo Sở Nội vụ đối với các trường hợp hài cốt liệt sĩ di chuyển hoặc mới tiếp nhận; </w:t>
      </w:r>
      <w:r>
        <w:rPr>
          <w:color w:val="222222"/>
          <w:sz w:val="28"/>
          <w:szCs w:val="28"/>
          <w:lang w:val="vi-VN"/>
        </w:rPr>
        <w:t>l</w:t>
      </w:r>
      <w:r>
        <w:rPr>
          <w:color w:val="222222"/>
          <w:sz w:val="28"/>
          <w:szCs w:val="28"/>
        </w:rPr>
        <w:t>ưu và gửi Sở Nội vụ các giấy tờ quy địn</w:t>
      </w:r>
      <w:r>
        <w:rPr>
          <w:color w:val="222222"/>
          <w:sz w:val="28"/>
          <w:szCs w:val="28"/>
          <w:lang w:val="vi-VN"/>
        </w:rPr>
        <w:t>h</w:t>
      </w:r>
      <w:r>
        <w:rPr>
          <w:color w:val="222222"/>
          <w:sz w:val="28"/>
          <w:szCs w:val="28"/>
        </w:rPr>
        <w:t>.</w:t>
      </w:r>
    </w:p>
    <w:p w14:paraId="7E904C19">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2.</w:t>
      </w:r>
      <w:r>
        <w:rPr>
          <w:color w:val="222222"/>
          <w:sz w:val="28"/>
          <w:szCs w:val="28"/>
          <w:lang w:val="en-US"/>
        </w:rPr>
        <w:t>6</w:t>
      </w:r>
      <w:r>
        <w:rPr>
          <w:color w:val="222222"/>
          <w:sz w:val="28"/>
          <w:szCs w:val="28"/>
          <w:lang w:val="vi-VN"/>
        </w:rPr>
        <w:t>. Chủ động hợp đồng thuê người làm công tác quản lý, bảo vệ, chăm sóc Đài tưởng niệm liệt sĩ, Đền thờ liệt sĩ, Nhà bia ghi tên liệt sĩ trên địa bàn xã và bố trí nguồn ngân sách cấp xã và huy động nguồn kinh phí khác để chi trả.</w:t>
      </w:r>
    </w:p>
    <w:p w14:paraId="36D52CBF">
      <w:pPr>
        <w:pStyle w:val="9"/>
        <w:spacing w:before="120" w:beforeAutospacing="0" w:after="120" w:afterAutospacing="0" w:line="320" w:lineRule="exact"/>
        <w:ind w:firstLine="567"/>
        <w:jc w:val="both"/>
        <w:rPr>
          <w:color w:val="222222"/>
          <w:sz w:val="28"/>
          <w:szCs w:val="28"/>
          <w:lang w:val="vi-VN"/>
        </w:rPr>
      </w:pPr>
      <w:r>
        <w:rPr>
          <w:b/>
          <w:bCs/>
          <w:color w:val="222222"/>
          <w:sz w:val="28"/>
          <w:szCs w:val="28"/>
          <w:lang w:val="vi-VN"/>
        </w:rPr>
        <w:t>Điều 4. Công tác quản lý công trình ghi công liệt sĩ, mộ liệt sĩ</w:t>
      </w:r>
    </w:p>
    <w:p w14:paraId="2B2276E0">
      <w:pPr>
        <w:pStyle w:val="9"/>
        <w:spacing w:before="120" w:beforeAutospacing="0" w:after="120" w:afterAutospacing="0" w:line="320" w:lineRule="exact"/>
        <w:ind w:firstLine="567"/>
        <w:jc w:val="both"/>
        <w:rPr>
          <w:color w:val="222222"/>
          <w:sz w:val="28"/>
          <w:szCs w:val="28"/>
        </w:rPr>
      </w:pPr>
      <w:r>
        <w:rPr>
          <w:color w:val="222222"/>
          <w:sz w:val="28"/>
          <w:szCs w:val="28"/>
        </w:rPr>
        <w:t>1. Đối với nghĩa trang liệt sĩ</w:t>
      </w:r>
    </w:p>
    <w:p w14:paraId="3B2BD6EF">
      <w:pPr>
        <w:pStyle w:val="9"/>
        <w:spacing w:before="120" w:beforeAutospacing="0" w:after="120" w:afterAutospacing="0" w:line="320" w:lineRule="exact"/>
        <w:ind w:firstLine="567"/>
        <w:jc w:val="both"/>
        <w:rPr>
          <w:color w:val="222222"/>
          <w:sz w:val="28"/>
          <w:szCs w:val="28"/>
          <w:lang w:val="vi-VN"/>
        </w:rPr>
      </w:pPr>
      <w:r>
        <w:rPr>
          <w:color w:val="222222"/>
          <w:sz w:val="28"/>
          <w:szCs w:val="28"/>
        </w:rPr>
        <w:t>a) Xây dựng nội quy, quy</w:t>
      </w:r>
      <w:r>
        <w:rPr>
          <w:color w:val="222222"/>
          <w:sz w:val="28"/>
          <w:szCs w:val="28"/>
          <w:lang w:val="vi-VN"/>
        </w:rPr>
        <w:t xml:space="preserve"> chế</w:t>
      </w:r>
      <w:r>
        <w:rPr>
          <w:color w:val="222222"/>
          <w:sz w:val="28"/>
          <w:szCs w:val="28"/>
        </w:rPr>
        <w:t xml:space="preserve"> quản lý nghĩa trang liệt sĩ; lập sơ đồ nghĩa trang và vị trí mộ, quản lý hồ sơ mộ liệt sĩ (bao gồm thông tin mộ, vị trí mộ, biên bản bàn giao hài cốt liệt sĩ và các giấy tờ liên quan đến phần mộ)</w:t>
      </w:r>
      <w:r>
        <w:rPr>
          <w:color w:val="222222"/>
          <w:sz w:val="28"/>
          <w:szCs w:val="28"/>
          <w:lang w:val="vi-VN"/>
        </w:rPr>
        <w:t>.</w:t>
      </w:r>
    </w:p>
    <w:p w14:paraId="643740E5">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b) Lập danh sách quản lý mộ trong nghĩa trang liệt sĩ theo quy định; thường xuyên cập nhật bổ sung thông tin trong danh sách quản lý mộ khi có sự thay đổi về mộ trong nghĩa trang liệt sĩ (trường hợp liệt sĩ di chuyển hoặc tiếp nhận mới, lưu hồ sơ và báo cáo cơ quan quản lý cấp trên).</w:t>
      </w:r>
    </w:p>
    <w:p w14:paraId="36C18302">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c) Tiếp nhận, tổ chức an táng hài cốt liệt sĩ do các địa phương, đơn vị quy tập bàn giao.</w:t>
      </w:r>
    </w:p>
    <w:p w14:paraId="38CBBA32">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d) Quản lý, bảo vệ, chăm sóc phần mộ liệt sĩ, vườn hoa, cây cảnh, khuôn viên và các hạng mục khác của nghĩa trang bảo đảm luôn sạch đẹp, trang nghiêm.</w:t>
      </w:r>
    </w:p>
    <w:p w14:paraId="7AB2DB2A">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đ) Tổ chức đón tiếp, hướng dẫn thân nhân liệt sĩ đến thăm viếng mộ liệt sĩ; di chuyển hài cốt liệt sĩ; xác nhận và đề nghị thanh toán chế độ thăm viếng mộ, di chuyển hài cốt liệt sĩ theo quy định.</w:t>
      </w:r>
    </w:p>
    <w:p w14:paraId="3A8BED9C">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e) Phục vụ chu đáo lễ dâng hương, viếng nghĩa trang liệt sĩ theo kế hoạch của các Đoàn đại biểu Trung ương; Đoàn đại biểu tỉnh và các ban, ngành, địa phương thuộc tỉnh Hà Tĩnh nhân các ngày lễ, tết hằng năm và các đoàn đại biểu trong, ngoài tỉnh đến thăm viếng.</w:t>
      </w:r>
    </w:p>
    <w:p w14:paraId="3C056AE3">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 xml:space="preserve">g) Mộ liệt sĩ sau khi di chuyển hài cốt phải được sửa chữa lại vỏ mộ, trên bia mộ khắc thêm dòng chữ “Hài cốt liệt sĩ đã di chuyển” ở phía dưới cùng. </w:t>
      </w:r>
    </w:p>
    <w:p w14:paraId="60498D78">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Sau khi di chuyển, phải ghi rõ hài cốt đã di chuyển về địa phương nơi an táng hài cốt liệt sĩ trong danh sách quản lý, lưu giữ biên bản bàn giao hài cốt cho thân nhân liệt sĩ và hồ sơ di chuyển hài cốt liệt sĩ. Đối với hài cốt liệt sĩ tiếp nhận mới, phải ghi rõ đơn quy tập hài cốt liệt sĩ hoặc người di chuyển hài cốt liệt sĩ và địa phương nơi quy tập hài cốt liệt sĩ hoặc nơi an táng hài cốt liệt sĩ trước khi di chuyển trong danh sách quản lý.</w:t>
      </w:r>
    </w:p>
    <w:p w14:paraId="00C52D75">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h) Thực hiện khắc lại thông tin trên bia mộ liệt sĩ đối với các trường hợp được cấp có thẩm quyền ban hành quyết định đính chính thông tin trên bia mộ liệt sĩ.</w:t>
      </w:r>
    </w:p>
    <w:p w14:paraId="276D9475">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i) Phối hợp Ủy ban Mặt trận Tổ quốc Việt Nam, đoàn thể các cấp, các cơ quan, đơn vị làm tốt công tác giáo dục truyền thống cách mạng cho các thành viên, hội viên của tổ chức mình và các thế hệ trẻ; vận động nhận và chăm sóc các nghĩa trang liệt sĩ hoặc từng khu vực trong nghĩa trang liệt sĩ.</w:t>
      </w:r>
    </w:p>
    <w:p w14:paraId="4750504C">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k) Phối hợp Đoàn TNCS Hồ Chí Minh các cấp, ngành Giáo dục và Đào tạo tổ chức dâng hương, dâng hoa tại các nghĩa trang liệt sĩ vào các dịp lễ, Tết.</w:t>
      </w:r>
    </w:p>
    <w:p w14:paraId="20FDE472">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l) Hằng năm, UBND tỉnh và UBND cấp xã dành một phần ngân sách địa phương đầu tư, nâng cấp, sửa chữa, tu bổ các phần mộ, nghĩa trang liệt sĩ; Huy động các nguồn lực để xây dựng, cải tạo, nâng cấp, tu bổ công trình.</w:t>
      </w:r>
    </w:p>
    <w:p w14:paraId="3C33FB37">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2. Đối với Đài tưởng niệm liệt sĩ, Đền thờ liệt sĩ, Nhà bia ghi tên liệt sĩ</w:t>
      </w:r>
    </w:p>
    <w:p w14:paraId="3139473C">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a) Quản lý, bảo vệ, chăm sóc vườn hoa, cây cảnh và các hạng mục khác của các công trình Đài tưởng niệm liệt sĩ, Đền thờ liệt sĩ, Nhà bia ghi tên liệt sĩ bảo đảm luôn sạch đẹp, trang nghiêm.</w:t>
      </w:r>
    </w:p>
    <w:p w14:paraId="7D6E8749">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b) Đón tiếp, hướng dẫn các tổ chức, nhân dân đến thăm viếng, tưởng niệm; phục vụ chu đáo lễ viếng tưởng niệm các anh hùng liệt sĩ theo kế hoạch.</w:t>
      </w:r>
    </w:p>
    <w:p w14:paraId="1448E818">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c) Trường hợp công trình ghi công liệt sĩ có ghi thông tin, danh sách liệt sĩ thì phải tổ chức quản lý danh sách liệt sĩ được khắc tên, ghi tên trên công trình. Nếu có bổ sung, điều chỉnh, sửa đổi thông tin thì phải đầy đủ căn cứ pháp lý theo quy định; các thông tin thay đổi phải được mở sổ ghi chép, cập nhật, theo dõi cụ thể, chi tiết.</w:t>
      </w:r>
    </w:p>
    <w:p w14:paraId="4BFC9BD6">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d) Hằng năm, UBND cấp xã chủ động xây dựng kế hoạch đầu tư, nâng cấp, sửa chữa, tu bổ công trình Đài tưởng niệm liệt sĩ, Đền thờ liệt sĩ, Nhà bia ghi tên liệt sĩ; huy động các nguồn lực để xây dựng, cải tạo, nâng cấp, tu bổ công trình.</w:t>
      </w:r>
    </w:p>
    <w:p w14:paraId="34F346A5">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3. Đối với Mộ liệt sĩ</w:t>
      </w:r>
    </w:p>
    <w:p w14:paraId="73EA02FA">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a) Mộ liệt sĩ phải được quản lý, sửa chữa, tu bổ, chăm sóc thường xuyên.</w:t>
      </w:r>
    </w:p>
    <w:p w14:paraId="07BCEDCB">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 xml:space="preserve">b) Mộ liệt sĩ trong cùng một nghĩa trang liệt sĩ được xây dựng thống nhất theo quy định tại khoản 2 Điều 152 </w:t>
      </w:r>
      <w:r>
        <w:rPr>
          <w:rStyle w:val="5"/>
          <w:i w:val="0"/>
          <w:iCs w:val="0"/>
          <w:color w:val="222222"/>
          <w:sz w:val="28"/>
          <w:szCs w:val="28"/>
          <w:lang w:val="vi-VN"/>
        </w:rPr>
        <w:t>Nghị định số 131/2021/NĐ-CP</w:t>
      </w:r>
      <w:r>
        <w:rPr>
          <w:color w:val="222222"/>
          <w:sz w:val="28"/>
          <w:szCs w:val="28"/>
          <w:lang w:val="vi-VN"/>
        </w:rPr>
        <w:t>.</w:t>
      </w:r>
    </w:p>
    <w:p w14:paraId="6D6BA069">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 xml:space="preserve">c) Quy trình, thủ tục đính chính thông tin trên bia mộ thực hiện theo quy định tại Điều 154 </w:t>
      </w:r>
      <w:r>
        <w:rPr>
          <w:rStyle w:val="5"/>
          <w:i w:val="0"/>
          <w:iCs w:val="0"/>
          <w:color w:val="222222"/>
          <w:sz w:val="28"/>
          <w:szCs w:val="28"/>
          <w:lang w:val="vi-VN"/>
        </w:rPr>
        <w:t>Nghị định số 131/2021/NĐ-CP</w:t>
      </w:r>
      <w:r>
        <w:rPr>
          <w:color w:val="222222"/>
          <w:sz w:val="28"/>
          <w:szCs w:val="28"/>
          <w:lang w:val="vi-VN"/>
        </w:rPr>
        <w:t>.</w:t>
      </w:r>
    </w:p>
    <w:p w14:paraId="77C087D3">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d) Quản lý cơ sở dữ liệu điện tử về nghĩa trang, bản đồ số, sơ đồ mộ 2D/3D số hóa, quản lý từng mộ qua mã định danh; cập nhật nhật đầy đủ thông tin liệt sĩ theo quy định.</w:t>
      </w:r>
    </w:p>
    <w:p w14:paraId="302790C1">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đ) Kiểm tra thông tin về vị trí mộ, thông tin khắc trên bia mộ, tình trạng hài cốt, thông tin quy tập, lấy mẫu hài cốt liệt sĩ, lập biên bản bàn giao mẫu hài cốt liệt sĩ theo quy định.</w:t>
      </w:r>
    </w:p>
    <w:p w14:paraId="78E9138D">
      <w:pPr>
        <w:pStyle w:val="9"/>
        <w:spacing w:before="120" w:beforeAutospacing="0" w:after="120" w:afterAutospacing="0" w:line="320" w:lineRule="exact"/>
        <w:ind w:firstLine="567"/>
        <w:jc w:val="both"/>
        <w:rPr>
          <w:color w:val="222222"/>
          <w:sz w:val="28"/>
          <w:szCs w:val="28"/>
          <w:lang w:val="vi-VN"/>
        </w:rPr>
      </w:pPr>
      <w:r>
        <w:rPr>
          <w:b/>
          <w:bCs/>
          <w:color w:val="222222"/>
          <w:sz w:val="28"/>
          <w:szCs w:val="28"/>
          <w:lang w:val="vi-VN"/>
        </w:rPr>
        <w:t>Điều 5. Kinh phí thực hiện</w:t>
      </w:r>
    </w:p>
    <w:p w14:paraId="20A00774">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Kinh phí thực hiện công tác quản lý các công trình ghi công liệt sĩ, mộ liệt sĩ trên địa bàn tỉnh Hà Tĩnh được đảm bảo từ nguồn ngân sách Nhà nước theo phân cấp và các nguồn kinh phí huy động hợp pháp khác.</w:t>
      </w:r>
    </w:p>
    <w:p w14:paraId="364AB0F4">
      <w:pPr>
        <w:pStyle w:val="9"/>
        <w:spacing w:before="120" w:beforeAutospacing="0" w:after="120" w:afterAutospacing="0" w:line="320" w:lineRule="exact"/>
        <w:ind w:firstLine="567"/>
        <w:jc w:val="both"/>
        <w:rPr>
          <w:color w:val="222222"/>
          <w:sz w:val="28"/>
          <w:szCs w:val="28"/>
          <w:lang w:val="vi-VN"/>
        </w:rPr>
      </w:pPr>
      <w:r>
        <w:rPr>
          <w:b/>
          <w:bCs/>
          <w:color w:val="222222"/>
          <w:sz w:val="28"/>
          <w:szCs w:val="28"/>
          <w:lang w:val="vi-VN"/>
        </w:rPr>
        <w:t>Điều 6. Các tổ chức, cá nhân liên quan</w:t>
      </w:r>
    </w:p>
    <w:p w14:paraId="6A7342E0">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1. Người làm công tác chăm sóc công trình ghi công liệt sĩ có trách nhiệm quản lý, chăm sóc thường xuyên vườn hoa, cây cảnh, phần mộ của liệt sĩ và bảo vệ tài sản, các hạng mục thuộc công trình ghi công liệt sĩ, bảo đảm luôn sạch đẹp và trang nghiêm; đón tiếp, hướng dẫn các tổ chức và nhân dân đến thăm viếng mộ liệt sĩ, di chuyển hài cốt liệt sĩ; thường xuyên cập nhật và báo cáo cơ quan quản lý về biến động, thay đổi các hạng mục của công trình ghi công liệt sĩ.</w:t>
      </w:r>
    </w:p>
    <w:p w14:paraId="62D97B17">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2. Các tổ chức, cá nhân đến thăm viếng mộ liệt sĩ, di chuyển hài cốt liệt sĩ, tham quan, sinh hoạt truyền thống tại công trình ghi công liệt sĩ trên địa bàn tỉnh có trách nhiệm chấp hành đúng nội quy, quy định của đơn vị quản lý công trình ghi công liệt sĩ; giữ gìn, bảo quản công trình ghi công liệt sĩ và chấp hành theo sự hướng dẫn của cơ quan quản lý công trình ghi công liệt sĩ.</w:t>
      </w:r>
    </w:p>
    <w:p w14:paraId="451C7503">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3. Không tự ý lắp đặt, cải tạo, di dời, làm thay đổi thiết kế, kết cấu, mỹ quan các phần mộ liệt sĩ và các hạng mục của công trình ghi công liệt sĩ; không tự ý thay đổi thông tin trên bia mộ liệt sĩ và thực hiện các hành vi khác trái quy định của pháp luật.</w:t>
      </w:r>
    </w:p>
    <w:p w14:paraId="51986821">
      <w:pPr>
        <w:pStyle w:val="9"/>
        <w:spacing w:before="0" w:beforeAutospacing="0" w:after="0" w:afterAutospacing="0"/>
        <w:jc w:val="center"/>
        <w:rPr>
          <w:color w:val="222222"/>
          <w:sz w:val="28"/>
          <w:szCs w:val="28"/>
          <w:lang w:val="vi-VN"/>
        </w:rPr>
      </w:pPr>
      <w:r>
        <w:rPr>
          <w:b/>
          <w:bCs/>
          <w:color w:val="222222"/>
          <w:sz w:val="28"/>
          <w:szCs w:val="28"/>
          <w:lang w:val="vi-VN"/>
        </w:rPr>
        <w:t>Chương III</w:t>
      </w:r>
    </w:p>
    <w:p w14:paraId="5EDFA8E1">
      <w:pPr>
        <w:pStyle w:val="9"/>
        <w:spacing w:before="0" w:beforeAutospacing="0" w:after="0" w:afterAutospacing="0"/>
        <w:jc w:val="center"/>
        <w:rPr>
          <w:color w:val="222222"/>
          <w:sz w:val="28"/>
          <w:szCs w:val="28"/>
          <w:lang w:val="vi-VN"/>
        </w:rPr>
      </w:pPr>
      <w:r>
        <w:rPr>
          <w:b/>
          <w:bCs/>
          <w:color w:val="222222"/>
          <w:sz w:val="28"/>
          <w:szCs w:val="28"/>
          <w:lang w:val="vi-VN"/>
        </w:rPr>
        <w:t>TỔ CHỨC THỰC HIỆN</w:t>
      </w:r>
    </w:p>
    <w:p w14:paraId="5294E6AF">
      <w:pPr>
        <w:pStyle w:val="9"/>
        <w:spacing w:before="120" w:beforeAutospacing="0" w:after="120" w:afterAutospacing="0" w:line="320" w:lineRule="exact"/>
        <w:ind w:firstLine="567"/>
        <w:jc w:val="both"/>
        <w:rPr>
          <w:b/>
          <w:bCs/>
          <w:color w:val="222222"/>
          <w:sz w:val="28"/>
          <w:szCs w:val="28"/>
          <w:lang w:val="vi-VN"/>
        </w:rPr>
      </w:pPr>
    </w:p>
    <w:p w14:paraId="455EB959">
      <w:pPr>
        <w:pStyle w:val="9"/>
        <w:spacing w:before="120" w:beforeAutospacing="0" w:after="120" w:afterAutospacing="0" w:line="320" w:lineRule="exact"/>
        <w:ind w:firstLine="567"/>
        <w:jc w:val="both"/>
        <w:rPr>
          <w:color w:val="222222"/>
          <w:sz w:val="28"/>
          <w:szCs w:val="28"/>
          <w:lang w:val="vi-VN"/>
        </w:rPr>
      </w:pPr>
      <w:r>
        <w:rPr>
          <w:b/>
          <w:bCs/>
          <w:color w:val="222222"/>
          <w:sz w:val="28"/>
          <w:szCs w:val="28"/>
          <w:lang w:val="vi-VN"/>
        </w:rPr>
        <w:t>Điều 7. Trách nhiệm của các cơ quan, đơn vị</w:t>
      </w:r>
    </w:p>
    <w:p w14:paraId="5DF95D9A">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1. Sở Nội vụ</w:t>
      </w:r>
    </w:p>
    <w:p w14:paraId="4288C7B8">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a) Chủ trì, phối hợp với các Sở, ngành cấp tỉnh, UBND cấp xã, các đơn vị liên quan tổ chức, triển khai thực hiện Quy chế quản lý công trình ghi công liệt sĩ, mộ liệt sĩ ban hành kèm theo Quyết định này.</w:t>
      </w:r>
    </w:p>
    <w:p w14:paraId="6212B26E">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b) Thực hiện chức năng quản lý nhà nước đối với công trình ghi công liệt sĩ được giao quản lý (nếu có); tổng hợp nhu cầu và kế hoạch đề nghị hỗ trợ xây dựng, sửa chữa, nâng cấp công trình ghi công liệt sĩ hằng năm, báo cáo UBND tỉnh, Bộ Nội vụ xem xét, quyết định.</w:t>
      </w:r>
    </w:p>
    <w:p w14:paraId="293EF0FB">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c) Hằng năm, trên cơ sở dự toán ngân sách Trung ương, ngân sách địa phương có trách nhiệm lập kế hoạch phân bổ kinh phí hỗ trợ xây dựng, cải tạo, sửa chữa, nâng cấp các công trình ghi công liệt sĩ theo hướng dẫn của Bộ Nội vụ và các văn bản quy định liên quan.</w:t>
      </w:r>
    </w:p>
    <w:p w14:paraId="6EAFA359">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d) Phối hợp với các địa phương, cơ quan, đơn vị liên quan tổ chức vận động, huy động nguồn lực xã hội để xây dựng, tu bổ, nâng cấp, chăm sóc, quản lý công trình ghi công liệt sĩ.</w:t>
      </w:r>
    </w:p>
    <w:p w14:paraId="521C53CF">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đ) Hướng dẫn, kiểm tra việc triển khai, tổ chức thực hiện Quy chế này đối với các cơ quan, đơn vị, tổ chức, cá nhân tại địa phương.</w:t>
      </w:r>
    </w:p>
    <w:p w14:paraId="0C0DDA05">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2. Sở Tài chính</w:t>
      </w:r>
    </w:p>
    <w:p w14:paraId="0A71B4A8">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Hàng năm, trên cơ sở đề xuất của các đơn vị; tổng hợp, tham mưu UBND tỉnh trình HĐND tỉnh bố trí ngân sách tỉnh thực hiện công tác quản lý các công trình ghi công liệt sĩ, mộ liệt sĩ theo quy định.</w:t>
      </w:r>
    </w:p>
    <w:p w14:paraId="472C4568">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3. Sở Xây dựng</w:t>
      </w:r>
    </w:p>
    <w:p w14:paraId="4A912B55">
      <w:pPr>
        <w:pStyle w:val="9"/>
        <w:spacing w:before="120" w:beforeAutospacing="0" w:after="120" w:afterAutospacing="0" w:line="320" w:lineRule="exact"/>
        <w:ind w:firstLine="567"/>
        <w:jc w:val="both"/>
        <w:rPr>
          <w:color w:val="222222"/>
          <w:sz w:val="28"/>
          <w:szCs w:val="28"/>
          <w:highlight w:val="yellow"/>
          <w:lang w:val="vi-VN"/>
        </w:rPr>
      </w:pPr>
      <w:r>
        <w:rPr>
          <w:color w:val="222222"/>
          <w:sz w:val="28"/>
          <w:szCs w:val="28"/>
          <w:lang w:val="vi-VN"/>
        </w:rPr>
        <w:t>Hướng dẫn việc lập, thẩm định, phê duyệt các dự án đầu tư cải tạo sửa chữa, xây mới các nghĩa trang liệt sĩ, công trình ghi công liệt sĩ đầu tư từ nguồn ngân sách; Cho ý kiến về thiết kế công trình ghi công liệt sĩ, mộ liệt sĩ.</w:t>
      </w:r>
    </w:p>
    <w:p w14:paraId="387547A2">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4. Sở Nông nghiệp và Môi trường</w:t>
      </w:r>
    </w:p>
    <w:p w14:paraId="0649E494">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Phối hợp với UBND cấp xã nơi có đất hướng dẫn, giải quyết các thủ tục về đất đai đối với các công trình ghi công liệt sĩ theo quy hoạch đã được phê duyệt.</w:t>
      </w:r>
    </w:p>
    <w:p w14:paraId="5BD2A342">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5. Bộ Chỉ huy Quân sự tỉnh</w:t>
      </w:r>
    </w:p>
    <w:p w14:paraId="3ACDFC3C">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Phối hợp chặt chẽ với Sở Nội vụ và các cơ quan liên quan trong công tác tìm kiếm, quy tập, xác định danh tính hài cốt liệt sĩ; trao đổi, cung cấp thông tin, hồ sơ, khu mộ và mộ liệt sĩ.</w:t>
      </w:r>
    </w:p>
    <w:p w14:paraId="0B525ACC">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6. Tỉnh đoàn TNCS Hồ Chí Minh.</w:t>
      </w:r>
    </w:p>
    <w:p w14:paraId="71720525">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Chủ trì, phối hợp với Sở Nội vụ, Sở Giáo dục và Đào tạo tổ chức thắp nến tri ân tại các nghĩa trang liệt sĩ trên địa bàn tỉnh vào dịp kỷ niệm ngày Thương binh liệt sĩ 27/7 hằng năm và theo kế hoạch riêng của tỉnh Hà Tĩnh.</w:t>
      </w:r>
    </w:p>
    <w:p w14:paraId="3E3C4FC2">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7. UBND cấp xã</w:t>
      </w:r>
    </w:p>
    <w:p w14:paraId="2ACC8DEF">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7.1. Tổ chức triển khai thực hiện Quy chế này, đồng thời ban hành và tổ chức thực hiện quy chế quản lý nghĩa trang liệt sĩ; nội quy thăm viếng đối với từng công trình ghi công liệt sĩ và mộ liệt sĩ trên địa bàn.</w:t>
      </w:r>
    </w:p>
    <w:p w14:paraId="046DD61B">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7.2. Tổ chức tuyên truyền, vận động nhân dân tham gia bảo vệ, chăm sóc các công trình ghi công liệt sĩ; đồng thời khuyến khích sự đóng góp nguồn lực của nhân dân cho công tác quản lý, bảo tồn và phát huy giá trị các công trình.</w:t>
      </w:r>
    </w:p>
    <w:p w14:paraId="6DAB5492">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7.3. Tiếp nhận, xem xét và giải quyết các kiến nghị, phản ánh của nhân dân tại địa phương; kịp thời báo cáo các vấn đề vượt thẩm quyền để cấp có thẩm quyền xem xét, giải quyết theo quy định.</w:t>
      </w:r>
    </w:p>
    <w:p w14:paraId="273DF124">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7.4. Hằng năm, xây dựng và tổ chức thực hiện kế hoạch tu bổ, sửa chữa, chăm sóc thường xuyên các công trình được giao quản lý; lập đề xuất, kế hoạch tu bổ, sửa chữa gửi Sở Nội vụ tổng hợp.</w:t>
      </w:r>
    </w:p>
    <w:p w14:paraId="0E58C939">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7.5. Bố trí ngân sách địa phương hoặc từ nguồn hợp pháp khác để bổ sung nguồn vốn xây dựng, cải tạo, nâng cấp, sửa chữa công trình ghi công liệt sĩ, mộ liệt sĩ thuộc thẩm quyền quản lý.</w:t>
      </w:r>
    </w:p>
    <w:p w14:paraId="7F2C4CB2">
      <w:pPr>
        <w:pStyle w:val="9"/>
        <w:spacing w:before="120" w:beforeAutospacing="0" w:after="120" w:afterAutospacing="0" w:line="320" w:lineRule="exact"/>
        <w:ind w:firstLine="567"/>
        <w:jc w:val="both"/>
        <w:rPr>
          <w:color w:val="222222"/>
          <w:sz w:val="28"/>
          <w:szCs w:val="28"/>
          <w:lang w:val="vi-VN"/>
        </w:rPr>
      </w:pPr>
      <w:r>
        <w:rPr>
          <w:b/>
          <w:bCs/>
          <w:color w:val="222222"/>
          <w:sz w:val="28"/>
          <w:szCs w:val="28"/>
          <w:lang w:val="vi-VN"/>
        </w:rPr>
        <w:t>Điều 8. Đề nghị Ủy ban Mặt trận Tổ quốc Việt Nam tỉnh</w:t>
      </w:r>
    </w:p>
    <w:p w14:paraId="61874352">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1. Chỉ đạo Ủy ban Mặt trận Tổ quốc Việt Nam các cấp và các tổ chức thành viên tuyên truyền vận động các hội viên của tổ chức mình và nhân dân nâng cao ý thức giữ gìn, bảo quản công trình ghi công liệt sĩ được chăm sóc chu đáo, bền đẹp, trang nghiêm.</w:t>
      </w:r>
    </w:p>
    <w:p w14:paraId="1D2E87F8">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2. Hằng năm, triển khai vận động, ủng hộ Quỹ “Đền ơn đáp nghĩa” các cấp để huy động các nguồn kinh phí hỗ trợ một phần cho công tác sửa chữa, nâng cấp công trình ghi công liệt sĩ trên địa bàn.</w:t>
      </w:r>
    </w:p>
    <w:p w14:paraId="1D22ED24">
      <w:pPr>
        <w:pStyle w:val="9"/>
        <w:spacing w:before="120" w:beforeAutospacing="0" w:after="120" w:afterAutospacing="0" w:line="320" w:lineRule="exact"/>
        <w:ind w:firstLine="567"/>
        <w:jc w:val="both"/>
        <w:rPr>
          <w:color w:val="222222"/>
          <w:sz w:val="28"/>
          <w:szCs w:val="28"/>
          <w:lang w:val="vi-VN"/>
        </w:rPr>
      </w:pPr>
      <w:r>
        <w:rPr>
          <w:b/>
          <w:bCs/>
          <w:color w:val="222222"/>
          <w:sz w:val="28"/>
          <w:szCs w:val="28"/>
          <w:lang w:val="vi-VN"/>
        </w:rPr>
        <w:t>Điều 9. Khen thưởng và xử lý vi phạm</w:t>
      </w:r>
    </w:p>
    <w:p w14:paraId="5FF052D2">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1. Các Tổ chức, cá nhân có thành tích trong việc quản lý các công trình ghi công liệt sĩ hoặc có những đóng góp ủng hộ kinh phí tiêu biểu vào đầu tư, tu bổ, tôn tạo, nâng cấp công trình ghi công liệt sĩ được các cơ quan quản lý nhà nước có thẩm quyền xem xét, khen thưởng theo quy định.</w:t>
      </w:r>
    </w:p>
    <w:p w14:paraId="21A62CD7">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2. Các tổ chức, cá nhân có hành vi vi phạm công trình ghi công liệt sĩ, tùy theo mức độ vi phạm sẽ bị xử lý vi phạm hành chính hoặc bị truy cứu trách nhiệm hình sự theo quy định pháp luật.</w:t>
      </w:r>
    </w:p>
    <w:p w14:paraId="7F12F2D1">
      <w:pPr>
        <w:pStyle w:val="9"/>
        <w:spacing w:before="120" w:beforeAutospacing="0" w:after="120" w:afterAutospacing="0" w:line="320" w:lineRule="exact"/>
        <w:ind w:firstLine="567"/>
        <w:jc w:val="both"/>
        <w:rPr>
          <w:color w:val="222222"/>
          <w:sz w:val="28"/>
          <w:szCs w:val="28"/>
          <w:lang w:val="vi-VN"/>
        </w:rPr>
      </w:pPr>
      <w:r>
        <w:rPr>
          <w:b/>
          <w:bCs/>
          <w:color w:val="222222"/>
          <w:sz w:val="28"/>
          <w:szCs w:val="28"/>
          <w:lang w:val="vi-VN"/>
        </w:rPr>
        <w:t>Điều 10. Chế độ báo cáo</w:t>
      </w:r>
    </w:p>
    <w:p w14:paraId="14FA3D68">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UBND cấp xã thực hiện báo cáo công tác quản lý công trình ghi công liệt sĩ, mộ liệt sĩ hằng năm và đột xuất theo yêu cầu của UBND tỉnh (gửi Sở Nội vụ).</w:t>
      </w:r>
    </w:p>
    <w:p w14:paraId="5F126D76">
      <w:pPr>
        <w:pStyle w:val="9"/>
        <w:spacing w:before="120" w:beforeAutospacing="0" w:after="120" w:afterAutospacing="0" w:line="320" w:lineRule="exact"/>
        <w:ind w:firstLine="567"/>
        <w:jc w:val="both"/>
        <w:rPr>
          <w:color w:val="222222"/>
          <w:sz w:val="28"/>
          <w:szCs w:val="28"/>
          <w:lang w:val="vi-VN"/>
        </w:rPr>
      </w:pPr>
      <w:r>
        <w:rPr>
          <w:b/>
          <w:bCs/>
          <w:color w:val="222222"/>
          <w:sz w:val="28"/>
          <w:szCs w:val="28"/>
          <w:lang w:val="vi-VN"/>
        </w:rPr>
        <w:t>Điều 11. Điều khoản thi hành</w:t>
      </w:r>
    </w:p>
    <w:p w14:paraId="60FE27EC">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1. Trường hợp các văn bản quy phạm pháp luật được viện dẫn tại Quy chế này được sửa đổi, bổ sung hoặc thay thế, thì thực hiện theo hướng dẫn của các văn bản đã được sửa đổi, thay thế đó.</w:t>
      </w:r>
    </w:p>
    <w:p w14:paraId="1F2473BA">
      <w:pPr>
        <w:pStyle w:val="9"/>
        <w:spacing w:before="120" w:beforeAutospacing="0" w:after="120" w:afterAutospacing="0" w:line="320" w:lineRule="exact"/>
        <w:ind w:firstLine="567"/>
        <w:jc w:val="both"/>
        <w:rPr>
          <w:color w:val="222222"/>
          <w:sz w:val="28"/>
          <w:szCs w:val="28"/>
          <w:lang w:val="vi-VN"/>
        </w:rPr>
      </w:pPr>
      <w:r>
        <w:rPr>
          <w:color w:val="222222"/>
          <w:sz w:val="28"/>
          <w:szCs w:val="28"/>
          <w:lang w:val="vi-VN"/>
        </w:rPr>
        <w:t>2. Trong quá trình thực hiện, nếu có vấn đề phát sinh, vướng mắc, yêu cầu các cơ quan, đơn vị, địa phương phản ánh kịp thời bằng văn bản về Sở Nội vụ để tổng hợp, báo cáo UBND tỉnh xem xét, sửa đổi, bổ sung cho phù hợp./.</w:t>
      </w:r>
    </w:p>
    <w:sectPr>
      <w:headerReference r:id="rId5" w:type="default"/>
      <w:pgSz w:w="11907" w:h="16840"/>
      <w:pgMar w:top="1134" w:right="1134" w:bottom="1134" w:left="1701" w:header="720"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70038157"/>
      <w:docPartObj>
        <w:docPartGallery w:val="AutoText"/>
      </w:docPartObj>
    </w:sdtPr>
    <w:sdtContent>
      <w:p w14:paraId="4B522CD8">
        <w:pPr>
          <w:pStyle w:val="7"/>
          <w:jc w:val="center"/>
        </w:pPr>
        <w:r>
          <w:fldChar w:fldCharType="begin"/>
        </w:r>
        <w:r>
          <w:instrText xml:space="preserve"> PAGE   \* MERGEFORMAT </w:instrText>
        </w:r>
        <w:r>
          <w:fldChar w:fldCharType="separate"/>
        </w:r>
        <w:r>
          <w:t>2</w:t>
        </w:r>
        <w:r>
          <w:fldChar w:fldCharType="end"/>
        </w:r>
      </w:p>
    </w:sdtContent>
  </w:sdt>
  <w:p w14:paraId="61D2B121">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3BB"/>
    <w:rsid w:val="00024C8E"/>
    <w:rsid w:val="000271F6"/>
    <w:rsid w:val="00031EEA"/>
    <w:rsid w:val="00036EEB"/>
    <w:rsid w:val="000543E9"/>
    <w:rsid w:val="00055B1E"/>
    <w:rsid w:val="00073FA7"/>
    <w:rsid w:val="000E273E"/>
    <w:rsid w:val="00101D37"/>
    <w:rsid w:val="00121DE1"/>
    <w:rsid w:val="0012242B"/>
    <w:rsid w:val="00161CF0"/>
    <w:rsid w:val="00186491"/>
    <w:rsid w:val="001D3AF9"/>
    <w:rsid w:val="001D6280"/>
    <w:rsid w:val="001E6F91"/>
    <w:rsid w:val="00205A13"/>
    <w:rsid w:val="00292631"/>
    <w:rsid w:val="002B4400"/>
    <w:rsid w:val="002C6057"/>
    <w:rsid w:val="0031001D"/>
    <w:rsid w:val="00340461"/>
    <w:rsid w:val="003A6043"/>
    <w:rsid w:val="003C5A10"/>
    <w:rsid w:val="00434405"/>
    <w:rsid w:val="00462E60"/>
    <w:rsid w:val="005149B0"/>
    <w:rsid w:val="00561693"/>
    <w:rsid w:val="005A4C57"/>
    <w:rsid w:val="005F68DF"/>
    <w:rsid w:val="0060248D"/>
    <w:rsid w:val="006276F3"/>
    <w:rsid w:val="006C740A"/>
    <w:rsid w:val="006D1070"/>
    <w:rsid w:val="006F783E"/>
    <w:rsid w:val="00732B07"/>
    <w:rsid w:val="0075511E"/>
    <w:rsid w:val="007A43BB"/>
    <w:rsid w:val="007C01BD"/>
    <w:rsid w:val="0080545D"/>
    <w:rsid w:val="00845439"/>
    <w:rsid w:val="0085298D"/>
    <w:rsid w:val="00866C88"/>
    <w:rsid w:val="008777D6"/>
    <w:rsid w:val="00881BE2"/>
    <w:rsid w:val="008A510A"/>
    <w:rsid w:val="008C1C5A"/>
    <w:rsid w:val="008D3570"/>
    <w:rsid w:val="008E023D"/>
    <w:rsid w:val="008F3319"/>
    <w:rsid w:val="009027D0"/>
    <w:rsid w:val="00934963"/>
    <w:rsid w:val="00954701"/>
    <w:rsid w:val="009567A8"/>
    <w:rsid w:val="009647D0"/>
    <w:rsid w:val="00995755"/>
    <w:rsid w:val="00997ABB"/>
    <w:rsid w:val="009A7B2D"/>
    <w:rsid w:val="00A35D73"/>
    <w:rsid w:val="00A478D1"/>
    <w:rsid w:val="00AC54D6"/>
    <w:rsid w:val="00B11DA7"/>
    <w:rsid w:val="00B16DBE"/>
    <w:rsid w:val="00B56881"/>
    <w:rsid w:val="00B66AA2"/>
    <w:rsid w:val="00B904FC"/>
    <w:rsid w:val="00BA26E3"/>
    <w:rsid w:val="00BC7C13"/>
    <w:rsid w:val="00BE004D"/>
    <w:rsid w:val="00BF7C1B"/>
    <w:rsid w:val="00C0466F"/>
    <w:rsid w:val="00C13CD0"/>
    <w:rsid w:val="00C71FB2"/>
    <w:rsid w:val="00CD7A2B"/>
    <w:rsid w:val="00D04403"/>
    <w:rsid w:val="00D1386F"/>
    <w:rsid w:val="00D15DB2"/>
    <w:rsid w:val="00D17BAF"/>
    <w:rsid w:val="00D7107B"/>
    <w:rsid w:val="00D92379"/>
    <w:rsid w:val="00DB2766"/>
    <w:rsid w:val="00DF25AB"/>
    <w:rsid w:val="00E109B0"/>
    <w:rsid w:val="00E156BA"/>
    <w:rsid w:val="00E24097"/>
    <w:rsid w:val="00E90A5E"/>
    <w:rsid w:val="00E9663F"/>
    <w:rsid w:val="00EB3D7E"/>
    <w:rsid w:val="00F11C08"/>
    <w:rsid w:val="00F224E3"/>
    <w:rsid w:val="00F30FBE"/>
    <w:rsid w:val="00F322CC"/>
    <w:rsid w:val="00FB7DB9"/>
    <w:rsid w:val="00FF72C5"/>
    <w:rsid w:val="150326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3"/>
    <w:semiHidden/>
    <w:unhideWhenUsed/>
    <w:qFormat/>
    <w:uiPriority w:val="99"/>
    <w:rPr>
      <w:rFonts w:ascii="Segoe UI" w:hAnsi="Segoe UI" w:cs="Segoe UI"/>
      <w:sz w:val="18"/>
      <w:szCs w:val="18"/>
    </w:rPr>
  </w:style>
  <w:style w:type="character" w:styleId="5">
    <w:name w:val="Emphasis"/>
    <w:basedOn w:val="2"/>
    <w:qFormat/>
    <w:uiPriority w:val="20"/>
    <w:rPr>
      <w:i/>
      <w:iCs/>
    </w:rPr>
  </w:style>
  <w:style w:type="paragraph" w:styleId="6">
    <w:name w:val="footer"/>
    <w:basedOn w:val="1"/>
    <w:link w:val="15"/>
    <w:unhideWhenUsed/>
    <w:uiPriority w:val="99"/>
    <w:pPr>
      <w:tabs>
        <w:tab w:val="center" w:pos="4680"/>
        <w:tab w:val="right" w:pos="9360"/>
      </w:tabs>
    </w:pPr>
  </w:style>
  <w:style w:type="paragraph" w:styleId="7">
    <w:name w:val="header"/>
    <w:basedOn w:val="1"/>
    <w:link w:val="14"/>
    <w:unhideWhenUsed/>
    <w:uiPriority w:val="99"/>
    <w:pPr>
      <w:tabs>
        <w:tab w:val="center" w:pos="4680"/>
        <w:tab w:val="right" w:pos="9360"/>
      </w:tabs>
    </w:pPr>
  </w:style>
  <w:style w:type="character" w:styleId="8">
    <w:name w:val="Hyperlink"/>
    <w:basedOn w:val="2"/>
    <w:unhideWhenUsed/>
    <w:qFormat/>
    <w:uiPriority w:val="99"/>
    <w:rPr>
      <w:color w:val="0000FF"/>
      <w:u w:val="single"/>
    </w:rPr>
  </w:style>
  <w:style w:type="paragraph" w:styleId="9">
    <w:name w:val="Normal (Web)"/>
    <w:basedOn w:val="1"/>
    <w:unhideWhenUsed/>
    <w:qFormat/>
    <w:uiPriority w:val="99"/>
    <w:pPr>
      <w:spacing w:before="100" w:beforeAutospacing="1" w:after="100" w:afterAutospacing="1"/>
    </w:pPr>
    <w:rPr>
      <w:lang w:val="en-CA" w:eastAsia="en-CA"/>
    </w:rPr>
  </w:style>
  <w:style w:type="character" w:styleId="10">
    <w:name w:val="Strong"/>
    <w:basedOn w:val="2"/>
    <w:qFormat/>
    <w:uiPriority w:val="22"/>
    <w:rPr>
      <w:b/>
      <w:bCs/>
    </w:rPr>
  </w:style>
  <w:style w:type="table" w:styleId="11">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List Paragraph"/>
    <w:basedOn w:val="1"/>
    <w:qFormat/>
    <w:uiPriority w:val="34"/>
    <w:pPr>
      <w:ind w:left="720"/>
      <w:contextualSpacing/>
    </w:pPr>
  </w:style>
  <w:style w:type="character" w:customStyle="1" w:styleId="13">
    <w:name w:val="Balloon Text Char"/>
    <w:basedOn w:val="2"/>
    <w:link w:val="4"/>
    <w:semiHidden/>
    <w:qFormat/>
    <w:uiPriority w:val="99"/>
    <w:rPr>
      <w:rFonts w:ascii="Segoe UI" w:hAnsi="Segoe UI" w:eastAsia="Times New Roman" w:cs="Segoe UI"/>
      <w:sz w:val="18"/>
      <w:szCs w:val="18"/>
    </w:rPr>
  </w:style>
  <w:style w:type="character" w:customStyle="1" w:styleId="14">
    <w:name w:val="Header Char"/>
    <w:basedOn w:val="2"/>
    <w:link w:val="7"/>
    <w:qFormat/>
    <w:uiPriority w:val="99"/>
    <w:rPr>
      <w:rFonts w:ascii="Times New Roman" w:hAnsi="Times New Roman" w:eastAsia="Times New Roman" w:cs="Times New Roman"/>
      <w:sz w:val="24"/>
      <w:szCs w:val="24"/>
    </w:rPr>
  </w:style>
  <w:style w:type="character" w:customStyle="1" w:styleId="15">
    <w:name w:val="Footer Char"/>
    <w:basedOn w:val="2"/>
    <w:link w:val="6"/>
    <w:uiPriority w:val="99"/>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2319</Words>
  <Characters>8136</Characters>
  <Lines>109</Lines>
  <Paragraphs>30</Paragraphs>
  <TotalTime>217</TotalTime>
  <ScaleCrop>false</ScaleCrop>
  <LinksUpToDate>false</LinksUpToDate>
  <CharactersWithSpaces>10393</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2026-09-01T08:24:00Z</dcterms:created>
  <dc:creator>Windows User</dc:creator>
  <cp:lastModifiedBy>user</cp:lastModifiedBy>
  <cp:lastPrinted>2024-07-16T03:57:00Z</cp:lastPrinted>
  <dcterms:modified xsi:type="dcterms:W3CDTF">2026-10-20T03:39:20Z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233940DD0EB34306BDF674B3F43FB719_13</vt:lpwstr>
  </property>
</Properties>
</file>