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77A19">
      <w:pPr>
        <w:spacing w:before="120" w:after="120"/>
        <w:jc w:val="both"/>
        <w:rPr>
          <w:sz w:val="4"/>
          <w:szCs w:val="4"/>
        </w:rPr>
      </w:pPr>
    </w:p>
    <w:tbl>
      <w:tblPr>
        <w:tblStyle w:val="7"/>
        <w:tblW w:w="8895" w:type="dxa"/>
        <w:jc w:val="center"/>
        <w:tblLayout w:type="fixed"/>
        <w:tblCellMar>
          <w:top w:w="0" w:type="dxa"/>
          <w:left w:w="108" w:type="dxa"/>
          <w:bottom w:w="0" w:type="dxa"/>
          <w:right w:w="108" w:type="dxa"/>
        </w:tblCellMar>
      </w:tblPr>
      <w:tblGrid>
        <w:gridCol w:w="3164"/>
        <w:gridCol w:w="5731"/>
      </w:tblGrid>
      <w:tr w14:paraId="3DE7F790">
        <w:tblPrEx>
          <w:tblCellMar>
            <w:top w:w="0" w:type="dxa"/>
            <w:left w:w="108" w:type="dxa"/>
            <w:bottom w:w="0" w:type="dxa"/>
            <w:right w:w="108" w:type="dxa"/>
          </w:tblCellMar>
        </w:tblPrEx>
        <w:trPr>
          <w:trHeight w:val="850" w:hRule="atLeast"/>
          <w:jc w:val="center"/>
        </w:trPr>
        <w:tc>
          <w:tcPr>
            <w:tcW w:w="3164" w:type="dxa"/>
          </w:tcPr>
          <w:p w14:paraId="550732CB">
            <w:pPr>
              <w:jc w:val="center"/>
              <w:rPr>
                <w:sz w:val="26"/>
                <w:szCs w:val="26"/>
              </w:rPr>
            </w:pPr>
            <w:r>
              <w:rPr>
                <w:sz w:val="26"/>
                <w:szCs w:val="26"/>
              </w:rPr>
              <w:t>UBND TỈNH HÀ TĨNH</w:t>
            </w:r>
          </w:p>
          <w:p w14:paraId="63A60D7A">
            <w:pPr>
              <w:jc w:val="center"/>
              <w:rPr>
                <w:b/>
                <w:bCs/>
                <w:sz w:val="26"/>
                <w:szCs w:val="26"/>
              </w:rPr>
            </w:pPr>
            <w:r>
              <w:rPr>
                <w:b/>
                <w:bCs/>
                <w:sz w:val="26"/>
                <w:szCs w:val="26"/>
              </w:rPr>
              <w:t>SỞ TÀI CHÍNH</w:t>
            </w:r>
          </w:p>
          <w:p w14:paraId="6B2E2EF8">
            <w:pPr>
              <w:spacing w:before="120" w:after="120"/>
              <w:jc w:val="center"/>
            </w:pPr>
            <w:r>
              <w:rPr>
                <w:lang w:eastAsia="en-US"/>
              </w:rPr>
              <mc:AlternateContent>
                <mc:Choice Requires="wps">
                  <w:drawing>
                    <wp:anchor distT="0" distB="0" distL="114935" distR="114935" simplePos="0" relativeHeight="251659264" behindDoc="0" locked="0" layoutInCell="1" allowOverlap="1">
                      <wp:simplePos x="0" y="0"/>
                      <wp:positionH relativeFrom="column">
                        <wp:posOffset>713740</wp:posOffset>
                      </wp:positionH>
                      <wp:positionV relativeFrom="paragraph">
                        <wp:posOffset>25400</wp:posOffset>
                      </wp:positionV>
                      <wp:extent cx="479425" cy="1270"/>
                      <wp:effectExtent l="635" t="5080" r="635" b="5080"/>
                      <wp:wrapNone/>
                      <wp:docPr id="1" name="Straight Arrow Connector 1"/>
                      <wp:cNvGraphicFramePr/>
                      <a:graphic xmlns:a="http://schemas.openxmlformats.org/drawingml/2006/main">
                        <a:graphicData uri="http://schemas.microsoft.com/office/word/2010/wordprocessingShape">
                          <wps:wsp>
                            <wps:cNvCnPr/>
                            <wps:spPr>
                              <a:xfrm>
                                <a:off x="0" y="0"/>
                                <a:ext cx="479520" cy="1440"/>
                              </a:xfrm>
                              <a:prstGeom prst="straightConnector1">
                                <a:avLst/>
                              </a:prstGeom>
                              <a:ln w="9360">
                                <a:solidFill>
                                  <a:srgbClr val="000000"/>
                                </a:solidFill>
                                <a:miter/>
                              </a:ln>
                            </wps:spPr>
                            <wps:bodyPr/>
                          </wps:wsp>
                        </a:graphicData>
                      </a:graphic>
                    </wp:anchor>
                  </w:drawing>
                </mc:Choice>
                <mc:Fallback>
                  <w:pict>
                    <v:shape id="_x0000_s1026" o:spid="_x0000_s1026" o:spt="32" type="#_x0000_t32" style="position:absolute;left:0pt;margin-left:56.2pt;margin-top:2pt;height:0.1pt;width:37.75pt;z-index:251659264;mso-width-relative:page;mso-height-relative:page;" filled="f" stroked="t" coordsize="21600,21600" o:gfxdata="UEsDBAoAAAAAAIdO4kAAAAAAAAAAAAAAAAAEAAAAZHJzL1BLAwQUAAAACACHTuJAcPONa88AAAAH&#10;AQAADwAAAGRycy9kb3ducmV2LnhtbE2PwU7DMBBE70j8g7VI3KgTKyohxKlQER9AoHc3XuyIeB3F&#10;blr+nu0JjqMZzbxpd5cwiRWXNEbSUG4KEEhDtCM5DZ8fbw81iJQNWTNFQg0/mGDX3d60prHxTO+4&#10;9tkJLqHUGA0+57mRMg0eg0mbOCOx9xWXYDLLxUm7mDOXh0mqotjKYEbiBW9m3HscvvtT4BFFe6xX&#10;tfXuUM1h7KN7eY1a39+VxTOIjJf8F4YrPqNDx0zHeCKbxMS6VBVHNVR86erXj08gjqwVyK6V//m7&#10;X1BLAwQUAAAACACHTuJAmzn0q7QBAAB4AwAADgAAAGRycy9lMm9Eb2MueG1srVPBbtswDL0P2D8I&#10;ui+Os6xbjThFkaC7DFuAbh+gyLItQBIFUo2Tvx+lZOnWXXqoD5JIio98T/Tq7uidOBgkC6GV9Wwu&#10;hQkaOhuGVv76+fDhixSUVOiUg2BaeTIk79bv362m2JgFjOA6g4JBAjVTbOWYUmyqivRovKIZRBM4&#10;2AN6ldjEoepQTYzuXbWYz2+qCbCLCNoQsXd7DsoLIr4GEPrearMF/eRNSGdUNE4lpkSjjSTXpdu+&#10;Nzr96HsySbhWMtNUVi7C531eq/VKNQOqOFp9aUG9poUXnLyygYteobYqKfGE9j8obzUCQZ9mGnx1&#10;JlIUYRb1/IU2j6OKpnBhqSleRae3g9XfDzsUtuNJkCIozw/+mFDZYUziHhEmsYEQWEZAUWe1pkgN&#10;J23CDi8WxR1m6scefd6ZlDgWhU9Xhc0xCc3O5efbTwvWXnOoXi6L/tVzakRKXw14kQ+tpEsn1xbq&#10;orE6fKPExTnxT0Ku64KYWnn78WZebhE42z1Y53KMcNhvHIqDynNQvkyGEf655m0ymRb7XeAtkz3T&#10;y6c9dKfCuvj5QcrFy/DkF//bLtnPP8z6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HDzjWvPAAAA&#10;BwEAAA8AAAAAAAAAAQAgAAAAIgAAAGRycy9kb3ducmV2LnhtbFBLAQIUABQAAAAIAIdO4kCbOfSr&#10;tAEAAHgDAAAOAAAAAAAAAAEAIAAAAB4BAABkcnMvZTJvRG9jLnhtbFBLBQYAAAAABgAGAFkBAABE&#10;BQAAAAA=&#10;">
                      <v:fill on="f" focussize="0,0"/>
                      <v:stroke weight="0.737007874015748pt" color="#000000" joinstyle="miter"/>
                      <v:imagedata o:title=""/>
                      <o:lock v:ext="edit" aspectratio="f"/>
                    </v:shape>
                  </w:pict>
                </mc:Fallback>
              </mc:AlternateContent>
            </w:r>
            <w:r>
              <w:rPr>
                <w:sz w:val="26"/>
                <w:szCs w:val="26"/>
              </w:rPr>
              <w:t xml:space="preserve">Số:      </w:t>
            </w:r>
            <w:r>
              <w:t xml:space="preserve">     /TTr-STC</w:t>
            </w:r>
          </w:p>
          <w:tbl>
            <w:tblPr>
              <w:tblStyle w:val="7"/>
              <w:tblW w:w="1701" w:type="dxa"/>
              <w:tblInd w:w="640" w:type="dxa"/>
              <w:tblLayout w:type="fixed"/>
              <w:tblCellMar>
                <w:top w:w="0" w:type="dxa"/>
                <w:left w:w="108" w:type="dxa"/>
                <w:bottom w:w="0" w:type="dxa"/>
                <w:right w:w="108" w:type="dxa"/>
              </w:tblCellMar>
            </w:tblPr>
            <w:tblGrid>
              <w:gridCol w:w="1701"/>
            </w:tblGrid>
            <w:tr w14:paraId="03C2F1E6">
              <w:tblPrEx>
                <w:tblCellMar>
                  <w:top w:w="0" w:type="dxa"/>
                  <w:left w:w="108" w:type="dxa"/>
                  <w:bottom w:w="0" w:type="dxa"/>
                  <w:right w:w="108" w:type="dxa"/>
                </w:tblCellMar>
              </w:tblPrEx>
              <w:tc>
                <w:tcPr>
                  <w:tcW w:w="1701" w:type="dxa"/>
                  <w:tcBorders>
                    <w:top w:val="single" w:color="000000" w:sz="4" w:space="0"/>
                    <w:left w:val="single" w:color="000000" w:sz="4" w:space="0"/>
                    <w:bottom w:val="single" w:color="000000" w:sz="4" w:space="0"/>
                    <w:right w:val="single" w:color="000000" w:sz="4" w:space="0"/>
                  </w:tcBorders>
                </w:tcPr>
                <w:p w14:paraId="7DB87444">
                  <w:pPr>
                    <w:spacing w:before="60" w:after="60"/>
                    <w:jc w:val="center"/>
                    <w:rPr>
                      <w:b/>
                      <w:sz w:val="26"/>
                      <w:szCs w:val="26"/>
                    </w:rPr>
                  </w:pPr>
                  <w:r>
                    <w:rPr>
                      <w:b/>
                      <w:sz w:val="26"/>
                      <w:szCs w:val="26"/>
                    </w:rPr>
                    <w:t>DỰ THẢO</w:t>
                  </w:r>
                </w:p>
              </w:tc>
            </w:tr>
          </w:tbl>
          <w:p w14:paraId="16B0D027">
            <w:pPr>
              <w:jc w:val="center"/>
              <w:rPr>
                <w:sz w:val="26"/>
                <w:szCs w:val="26"/>
              </w:rPr>
            </w:pPr>
          </w:p>
        </w:tc>
        <w:tc>
          <w:tcPr>
            <w:tcW w:w="5731" w:type="dxa"/>
          </w:tcPr>
          <w:p w14:paraId="4B9311F0">
            <w:pPr>
              <w:pStyle w:val="4"/>
              <w:rPr>
                <w:rFonts w:ascii="Times New Roman" w:hAnsi="Times New Roman" w:cs="Times New Roman"/>
                <w:sz w:val="26"/>
                <w:szCs w:val="26"/>
              </w:rPr>
            </w:pPr>
            <w:r>
              <w:rPr>
                <w:rFonts w:ascii="Times New Roman" w:hAnsi="Times New Roman" w:cs="Times New Roman"/>
                <w:sz w:val="26"/>
                <w:szCs w:val="26"/>
              </w:rPr>
              <w:t>CỘNG HÒA XÃ HỘI CHỦ NGHĨA VIỆT NAM</w:t>
            </w:r>
          </w:p>
          <w:p w14:paraId="3F4E5A6A">
            <w:pPr>
              <w:jc w:val="center"/>
              <w:rPr>
                <w:b/>
                <w:bCs/>
                <w:sz w:val="28"/>
                <w:szCs w:val="28"/>
              </w:rPr>
            </w:pPr>
            <w:r>
              <w:rPr>
                <w:b/>
                <w:bCs/>
                <w:sz w:val="28"/>
                <w:szCs w:val="28"/>
              </w:rPr>
              <w:t>Độc lập - Tự do - Hạnh phúc</w:t>
            </w:r>
          </w:p>
          <w:p w14:paraId="6F0B2237">
            <w:pPr>
              <w:spacing w:before="120" w:after="120"/>
              <w:jc w:val="center"/>
              <w:rPr>
                <w:i/>
                <w:sz w:val="26"/>
                <w:szCs w:val="26"/>
              </w:rPr>
            </w:pPr>
            <w:r>
              <w:rPr>
                <w:lang w:eastAsia="en-US"/>
              </w:rPr>
              <mc:AlternateContent>
                <mc:Choice Requires="wps">
                  <w:drawing>
                    <wp:anchor distT="0" distB="0" distL="114935" distR="114935" simplePos="0" relativeHeight="251659264" behindDoc="0" locked="0" layoutInCell="1" allowOverlap="1">
                      <wp:simplePos x="0" y="0"/>
                      <wp:positionH relativeFrom="column">
                        <wp:posOffset>676275</wp:posOffset>
                      </wp:positionH>
                      <wp:positionV relativeFrom="paragraph">
                        <wp:posOffset>27305</wp:posOffset>
                      </wp:positionV>
                      <wp:extent cx="2139315" cy="1270"/>
                      <wp:effectExtent l="635" t="5080" r="635" b="5080"/>
                      <wp:wrapNone/>
                      <wp:docPr id="2" name="Straight Arrow Connector 2"/>
                      <wp:cNvGraphicFramePr/>
                      <a:graphic xmlns:a="http://schemas.openxmlformats.org/drawingml/2006/main">
                        <a:graphicData uri="http://schemas.microsoft.com/office/word/2010/wordprocessingShape">
                          <wps:wsp>
                            <wps:cNvCnPr/>
                            <wps:spPr>
                              <a:xfrm>
                                <a:off x="0" y="0"/>
                                <a:ext cx="2139480" cy="1440"/>
                              </a:xfrm>
                              <a:prstGeom prst="straightConnector1">
                                <a:avLst/>
                              </a:prstGeom>
                              <a:ln w="9360">
                                <a:solidFill>
                                  <a:srgbClr val="000000"/>
                                </a:solidFill>
                                <a:miter/>
                              </a:ln>
                            </wps:spPr>
                            <wps:bodyPr/>
                          </wps:wsp>
                        </a:graphicData>
                      </a:graphic>
                    </wp:anchor>
                  </w:drawing>
                </mc:Choice>
                <mc:Fallback>
                  <w:pict>
                    <v:shape id="_x0000_s1026" o:spid="_x0000_s1026" o:spt="32" type="#_x0000_t32" style="position:absolute;left:0pt;margin-left:53.25pt;margin-top:2.15pt;height:0.1pt;width:168.45pt;z-index:251659264;mso-width-relative:page;mso-height-relative:page;" filled="f" stroked="t" coordsize="21600,21600" o:gfxdata="UEsDBAoAAAAAAIdO4kAAAAAAAAAAAAAAAAAEAAAAZHJzL1BLAwQUAAAACACHTuJA2va/INAAAAAH&#10;AQAADwAAAGRycy9kb3ducmV2LnhtbE2OwU7DMBBE70j8g7VI3Kjd1I2qNE6FivgAAtzdeHGixuso&#10;dtPy9ywnuM1oRjOvPtzCKBac0xDJwHqlQCB10Q3kDXy8vz7tQKRsydkxEhr4xgSH5v6utpWLV3rD&#10;pc1e8Ailyhroc54qKVPXY7BpFSckzr7iHGxmO3vpZnvl8TDKQqlSBjsQP/R2wmOP3bm9BD4p6Ii7&#10;pSh7/6mnMLTRP79EYx4f1moPIuMt/5XhF5/RoWGmU7yQS2Jkr8otVw3oDQjOtd5oECcWW5BNLf/z&#10;Nz9QSwMEFAAAAAgAh07iQN095yG1AQAAeQMAAA4AAABkcnMvZTJvRG9jLnhtbK1Ty27bMBC8F8g/&#10;ELzHkh0jSAzLQWEjvRStgbQfQFOURIDkEruMZf99l7TqtOklh+rAxz5md2ap9dPJO3E0SBZCI+ez&#10;WgoTNLQ29I38+eP59kEKSiq0ykEwjTwbkk+bm0/rMa7MAgZwrUHBIIFWY2zkkFJcVRXpwXhFM4gm&#10;sLMD9CrxFfuqRTUyunfVoq7vqxGwjQjaELF1d3HKCRE/AghdZ7XZgX71JqQLKhqnElOiwUaSm9Jt&#10;1xmdvncdmSRcI5lpKisX4fMhr9VmrVY9qjhYPbWgPtLCO05e2cBFr1A7lZR4RfsPlLcagaBLMw2+&#10;uhApijCLef1Om5dBRVO4sNQUr6LT/4PV3457FLZt5EKKoDwP/CWhsv2QxGdEGMUWQmAZAcUiqzVG&#10;WnHSNuxxulHcY6Z+6tDnnUmJU1H4fFXYnJLQbFzM7x6XDyy+Zt98uSwDqN5yI1L6YsCLfGgkTa1c&#10;e5gXkdXxKyWuzom/E3JhF8TYyMe7+7pEETjbPlvnso+wP2wdiqPKD6F8mQ0j/BXmbTKZF9td4C2z&#10;vfDLpwO050K72HkiJXB6PXnkf95L9tsfs/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2va/INAA&#10;AAAHAQAADwAAAAAAAAABACAAAAAiAAAAZHJzL2Rvd25yZXYueG1sUEsBAhQAFAAAAAgAh07iQN09&#10;5yG1AQAAeQMAAA4AAAAAAAAAAQAgAAAAHwEAAGRycy9lMm9Eb2MueG1sUEsFBgAAAAAGAAYAWQEA&#10;AEYFAAAAAA==&#10;">
                      <v:fill on="f" focussize="0,0"/>
                      <v:stroke weight="0.737007874015748pt" color="#000000" joinstyle="miter"/>
                      <v:imagedata o:title=""/>
                      <o:lock v:ext="edit" aspectratio="f"/>
                    </v:shape>
                  </w:pict>
                </mc:Fallback>
              </mc:AlternateContent>
            </w:r>
            <w:r>
              <w:rPr>
                <w:i/>
                <w:sz w:val="26"/>
                <w:szCs w:val="26"/>
              </w:rPr>
              <w:t xml:space="preserve">Hà Tĩnh, ngày </w:t>
            </w:r>
            <w:r>
              <w:rPr>
                <w:i/>
                <w:sz w:val="26"/>
                <w:szCs w:val="26"/>
                <w:lang w:val="vi-VN"/>
              </w:rPr>
              <w:t xml:space="preserve"> </w:t>
            </w:r>
            <w:r>
              <w:rPr>
                <w:i/>
                <w:sz w:val="26"/>
                <w:szCs w:val="26"/>
                <w:lang w:val="en-GB"/>
              </w:rPr>
              <w:t xml:space="preserve">   </w:t>
            </w:r>
            <w:r>
              <w:rPr>
                <w:i/>
                <w:sz w:val="26"/>
                <w:szCs w:val="26"/>
              </w:rPr>
              <w:t xml:space="preserve">     tháng        năm 2026</w:t>
            </w:r>
          </w:p>
        </w:tc>
      </w:tr>
    </w:tbl>
    <w:p w14:paraId="42A201FB">
      <w:pPr>
        <w:jc w:val="center"/>
        <w:rPr>
          <w:b/>
          <w:sz w:val="36"/>
          <w:szCs w:val="36"/>
        </w:rPr>
      </w:pPr>
    </w:p>
    <w:p w14:paraId="030D6E6D">
      <w:pPr>
        <w:jc w:val="center"/>
      </w:pPr>
      <w:r>
        <w:rPr>
          <w:b/>
          <w:sz w:val="28"/>
          <w:szCs w:val="28"/>
        </w:rPr>
        <w:t>TỜ TRÌNH</w:t>
      </w:r>
    </w:p>
    <w:p w14:paraId="57D823DF">
      <w:pPr>
        <w:ind w:left="720" w:leftChars="0"/>
        <w:jc w:val="center"/>
      </w:pPr>
      <w:r>
        <w:rPr>
          <w:b/>
          <w:bCs/>
          <w:sz w:val="28"/>
          <w:szCs w:val="28"/>
        </w:rPr>
        <w:t xml:space="preserve">Về việc </w:t>
      </w:r>
      <w:r>
        <w:rPr>
          <w:b/>
          <w:bCs/>
          <w:sz w:val="28"/>
          <w:szCs w:val="28"/>
          <w:lang w:val="vi-VN"/>
        </w:rPr>
        <w:t xml:space="preserve">sửa đổi, bổ sung một số điều của Quyết định số 98/2025/QĐ-UBND </w:t>
      </w:r>
      <w:r>
        <w:rPr>
          <w:b/>
          <w:bCs/>
          <w:spacing w:val="-2"/>
          <w:sz w:val="28"/>
          <w:szCs w:val="28"/>
          <w:lang w:val="vi-VN"/>
        </w:rPr>
        <w:t>ngày 22/12/2025 của</w:t>
      </w:r>
      <w:bookmarkStart w:id="5" w:name="_GoBack"/>
      <w:bookmarkEnd w:id="5"/>
      <w:r>
        <w:rPr>
          <w:b/>
          <w:bCs/>
          <w:spacing w:val="-2"/>
          <w:sz w:val="28"/>
          <w:szCs w:val="28"/>
          <w:lang w:val="vi-VN"/>
        </w:rPr>
        <w:t xml:space="preserve"> UBND tỉnh phân cấp thẩm quyền quyết định tiêu chuẩn,</w:t>
      </w:r>
      <w:r>
        <w:rPr>
          <w:b/>
          <w:bCs/>
          <w:sz w:val="28"/>
          <w:szCs w:val="28"/>
          <w:lang w:val="vi-VN"/>
        </w:rPr>
        <w:t xml:space="preserve"> </w:t>
      </w:r>
      <w:r>
        <w:rPr>
          <w:b/>
          <w:bCs/>
          <w:spacing w:val="-4"/>
          <w:sz w:val="28"/>
          <w:szCs w:val="28"/>
          <w:lang w:val="vi-VN"/>
        </w:rPr>
        <w:t xml:space="preserve">định mức sử dụng máy móc, thiết bị đối với các </w:t>
      </w:r>
      <w:r>
        <w:rPr>
          <w:b/>
          <w:bCs/>
          <w:sz w:val="28"/>
          <w:szCs w:val="28"/>
          <w:lang w:val="vi-VN"/>
        </w:rPr>
        <w:t>cơ quan, tổ chức, đơn vị thuộc phạm vi quản lý của tỉnh Hà Tĩnh</w:t>
      </w:r>
    </w:p>
    <w:p w14:paraId="0A90DB9D">
      <w:pPr>
        <w:jc w:val="center"/>
        <w:rPr>
          <w:b/>
          <w:bCs/>
          <w:sz w:val="28"/>
          <w:szCs w:val="28"/>
          <w:lang w:val="vi-VN"/>
        </w:rPr>
      </w:pPr>
    </w:p>
    <w:p w14:paraId="37587E66">
      <w:pPr>
        <w:jc w:val="center"/>
        <w:rPr>
          <w:sz w:val="28"/>
          <w:szCs w:val="28"/>
        </w:rPr>
      </w:pPr>
      <w:r>
        <w:rPr>
          <w:sz w:val="28"/>
          <w:szCs w:val="28"/>
        </w:rPr>
        <w:t>Kính gửi: Ủy ban nhân dân tỉnh Hà Tĩnh</w:t>
      </w:r>
    </w:p>
    <w:p w14:paraId="2AE51661">
      <w:pPr>
        <w:jc w:val="center"/>
        <w:rPr>
          <w:sz w:val="28"/>
          <w:szCs w:val="28"/>
        </w:rPr>
      </w:pPr>
    </w:p>
    <w:p w14:paraId="5CBC4527">
      <w:pPr>
        <w:spacing w:before="120" w:after="120"/>
        <w:ind w:firstLine="720"/>
        <w:jc w:val="both"/>
      </w:pPr>
      <w:r>
        <w:rPr>
          <w:sz w:val="28"/>
        </w:rPr>
        <w:t>Căn cứ Luật Ban hành văn bản quy phạm pháp luật số 64/2025/QH15 được sửa đổi, bổ sung bởi Luật số 87/2025/QH15;</w:t>
      </w:r>
    </w:p>
    <w:p w14:paraId="39244416">
      <w:pPr>
        <w:widowControl w:val="0"/>
        <w:spacing w:before="120" w:after="120"/>
        <w:ind w:firstLine="720"/>
        <w:jc w:val="both"/>
      </w:pPr>
      <w:r>
        <w:rPr>
          <w:sz w:val="28"/>
        </w:rPr>
        <w:t>Căn cứ Quyết định số 15/2025/QĐ-TTg ngày 14/6/2025 của Thủ tướng Chính phủ quy định tiêu chuẩn, định mức sử dụng máy móc, thiết bị và Quyết định số 10/2026/QĐ-TTg ngày 09/3/2026 của Thủ tướng Chính phủ sửa đổi, bổ sung một số điều của Quyết định số 15/2025/QĐ-TTg;</w:t>
      </w:r>
    </w:p>
    <w:p w14:paraId="615D2F2D">
      <w:pPr>
        <w:widowControl w:val="0"/>
        <w:spacing w:before="120" w:after="120"/>
        <w:ind w:firstLine="720"/>
        <w:jc w:val="both"/>
      </w:pPr>
      <w:r>
        <w:rPr>
          <w:sz w:val="28"/>
        </w:rPr>
        <w:t>Thực hiện Văn bản số 8965/UBND-TH</w:t>
      </w:r>
      <w:r>
        <w:rPr>
          <w:sz w:val="28"/>
          <w:vertAlign w:val="subscript"/>
        </w:rPr>
        <w:t>5</w:t>
      </w:r>
      <w:r>
        <w:rPr>
          <w:sz w:val="28"/>
        </w:rPr>
        <w:t xml:space="preserve"> ngày 07/9/2026 của UBND tỉnh về đồng ý chủ trương xây dựng Quyết định sửa đổi, bổ sung một số điều của Quyết định số 98/2025/QĐ-UBND ngày 22/12/2025 của UBND tỉnh.</w:t>
      </w:r>
    </w:p>
    <w:p w14:paraId="5E2865CC">
      <w:pPr>
        <w:spacing w:before="120" w:after="120"/>
        <w:ind w:firstLine="720"/>
        <w:jc w:val="both"/>
        <w:rPr>
          <w:sz w:val="28"/>
          <w:szCs w:val="28"/>
        </w:rPr>
      </w:pPr>
      <w:r>
        <w:rPr>
          <w:sz w:val="28"/>
        </w:rPr>
        <w:t>Sở Tài chính kính trình UBND tỉnh dự thảo Quyết định sửa đổi, bổ sung một số điều của Quyết định số 98/2025/QĐ-UBND ngày 22/12/2025 của UBND tỉnh phân cấp thẩm quyền quyết định tiêu chuẩn, định mức sử dụng máy móc, thiết bị đối với các cơ quan, tổ chức, đơn vị thuộc phạm vi quản lý của tỉnh Hà Tĩnh, cụ thể như sau:</w:t>
      </w:r>
    </w:p>
    <w:p w14:paraId="7B6C7CDA">
      <w:pPr>
        <w:spacing w:before="120" w:after="120"/>
        <w:ind w:firstLine="720"/>
        <w:jc w:val="both"/>
        <w:rPr>
          <w:b/>
          <w:bCs/>
          <w:sz w:val="28"/>
          <w:szCs w:val="28"/>
        </w:rPr>
      </w:pPr>
      <w:r>
        <w:rPr>
          <w:b/>
          <w:bCs/>
          <w:sz w:val="28"/>
          <w:szCs w:val="28"/>
        </w:rPr>
        <w:t>I. SỰ CẦN THIẾT BAN HÀNH QUYẾT ĐỊNH</w:t>
      </w:r>
    </w:p>
    <w:p w14:paraId="52257634">
      <w:pPr>
        <w:spacing w:before="120" w:after="120"/>
        <w:ind w:firstLine="720"/>
        <w:jc w:val="both"/>
      </w:pPr>
      <w:r>
        <w:rPr>
          <w:b/>
          <w:bCs/>
          <w:iCs/>
          <w:sz w:val="28"/>
          <w:szCs w:val="28"/>
        </w:rPr>
        <w:t>1. Cơ sở chính trị, pháp lý</w:t>
      </w:r>
    </w:p>
    <w:p w14:paraId="2DF547E9">
      <w:pPr>
        <w:spacing w:before="120" w:after="120"/>
        <w:ind w:firstLine="720"/>
        <w:jc w:val="both"/>
        <w:rPr>
          <w:bCs/>
          <w:iCs/>
          <w:sz w:val="28"/>
          <w:szCs w:val="28"/>
        </w:rPr>
      </w:pPr>
      <w:r>
        <w:rPr>
          <w:bCs/>
          <w:iCs/>
          <w:sz w:val="28"/>
          <w:szCs w:val="28"/>
        </w:rPr>
        <w:t>a) Về thẩm quyền:</w:t>
      </w:r>
    </w:p>
    <w:p w14:paraId="6A985E1A">
      <w:pPr>
        <w:spacing w:before="120" w:after="120"/>
        <w:ind w:firstLine="709"/>
        <w:jc w:val="both"/>
      </w:pPr>
      <w:r>
        <w:rPr>
          <w:sz w:val="28"/>
          <w:szCs w:val="28"/>
          <w:lang w:val="vi-VN"/>
        </w:rPr>
        <w:t>Căn cứ Quyết định số 15/2025/QĐ-TTg,</w:t>
      </w:r>
      <w:r>
        <w:rPr>
          <w:bCs/>
          <w:color w:val="000000"/>
          <w:sz w:val="28"/>
          <w:szCs w:val="28"/>
          <w:shd w:val="clear" w:color="auto" w:fill="FFFFFF"/>
          <w:lang w:val="vi-VN"/>
        </w:rPr>
        <w:t xml:space="preserve"> Ủy ban nhân dân tỉnh Hà Tĩnh đã ban hành Quyết định số 98/2025/QĐ-UBND p</w:t>
      </w:r>
      <w:r>
        <w:rPr>
          <w:sz w:val="28"/>
          <w:szCs w:val="28"/>
          <w:lang w:val="vi-VN"/>
        </w:rPr>
        <w:t>hân cấp thẩm quyền quyết định tiêu chuẩn, định mức sử dụng máy móc, thiết bị đối với các</w:t>
      </w:r>
      <w:r>
        <w:rPr>
          <w:spacing w:val="-4"/>
          <w:sz w:val="28"/>
          <w:szCs w:val="28"/>
          <w:lang w:val="vi-VN"/>
        </w:rPr>
        <w:t xml:space="preserve"> cơ quan, tổ chức,</w:t>
      </w:r>
      <w:r>
        <w:rPr>
          <w:sz w:val="28"/>
          <w:szCs w:val="28"/>
          <w:lang w:val="vi-VN"/>
        </w:rPr>
        <w:t xml:space="preserve"> đơn vị thuộc phạm vi quản lý của tỉnh Hà Tĩnh</w:t>
      </w:r>
      <w:r>
        <w:rPr>
          <w:bCs/>
          <w:color w:val="000000"/>
          <w:sz w:val="28"/>
          <w:szCs w:val="28"/>
          <w:shd w:val="clear" w:color="auto" w:fill="FFFFFF"/>
          <w:lang w:val="vi-VN"/>
        </w:rPr>
        <w:t>.</w:t>
      </w:r>
    </w:p>
    <w:p w14:paraId="0D30BF65">
      <w:pPr>
        <w:spacing w:before="120" w:after="120"/>
        <w:ind w:firstLine="709"/>
        <w:jc w:val="both"/>
        <w:rPr>
          <w:sz w:val="28"/>
          <w:szCs w:val="28"/>
          <w:lang w:val="vi-VN"/>
        </w:rPr>
      </w:pPr>
      <w:r>
        <w:rPr>
          <w:sz w:val="28"/>
          <w:szCs w:val="28"/>
          <w:lang w:val="vi-VN"/>
        </w:rPr>
        <w:t>Ngày 09/3/2026, Thủ tướng Chính phủ ban hành Quyết định số 10/2026/QĐ-TTg sửa đổi, bổ sung một số điều của Quyết định số 15/2025/QĐ-TTg. Theo đó, một số nội dung thuộc thẩm quyền quyết định hoặc phân cấp thẩm quyền quyết định của UBND cấp tỉnh được sửa đổi, bổ sung, cụ thể như sau:</w:t>
      </w:r>
    </w:p>
    <w:p w14:paraId="1D78D8A4">
      <w:pPr>
        <w:spacing w:before="120" w:after="120"/>
        <w:ind w:firstLine="709"/>
        <w:jc w:val="both"/>
      </w:pPr>
      <w:r>
        <w:rPr>
          <w:bCs/>
          <w:color w:val="000000"/>
          <w:sz w:val="28"/>
          <w:szCs w:val="28"/>
          <w:shd w:val="clear" w:color="auto" w:fill="FFFFFF"/>
          <w:lang w:val="vi-VN"/>
        </w:rPr>
        <w:t xml:space="preserve">- </w:t>
      </w:r>
      <w:r>
        <w:rPr>
          <w:bCs/>
          <w:color w:val="000000"/>
          <w:sz w:val="28"/>
          <w:szCs w:val="28"/>
          <w:shd w:val="clear" w:color="auto" w:fill="FFFFFF"/>
        </w:rPr>
        <w:t xml:space="preserve">Tại </w:t>
      </w:r>
      <w:r>
        <w:rPr>
          <w:bCs/>
          <w:color w:val="000000"/>
          <w:sz w:val="28"/>
          <w:szCs w:val="28"/>
          <w:shd w:val="clear" w:color="auto" w:fill="FFFFFF"/>
          <w:lang w:val="vi-VN"/>
        </w:rPr>
        <w:t>điểm a khoản 1 Điều 1 s</w:t>
      </w:r>
      <w:r>
        <w:rPr>
          <w:sz w:val="28"/>
          <w:szCs w:val="28"/>
          <w:lang w:val="vi-VN"/>
        </w:rPr>
        <w:t>ửa đổi, bổ sung khoản 4 Điều 3 Quyết định số 15/2025/QĐ-TTg như sau:</w:t>
      </w:r>
    </w:p>
    <w:p w14:paraId="05A4AF68">
      <w:pPr>
        <w:spacing w:before="120" w:after="120"/>
        <w:ind w:firstLine="709"/>
        <w:jc w:val="both"/>
      </w:pPr>
      <w:r>
        <w:rPr>
          <w:bCs/>
          <w:i/>
          <w:iCs/>
          <w:color w:val="000000"/>
          <w:sz w:val="28"/>
          <w:szCs w:val="28"/>
          <w:shd w:val="clear" w:color="auto" w:fill="FFFFFF"/>
          <w:lang w:val="vi-VN"/>
        </w:rPr>
        <w:t>“</w:t>
      </w:r>
      <w:r>
        <w:rPr>
          <w:i/>
          <w:iCs/>
          <w:sz w:val="28"/>
          <w:szCs w:val="28"/>
          <w:lang w:val="vi-VN"/>
        </w:rPr>
        <w:t xml:space="preserve">4. </w:t>
      </w:r>
      <w:r>
        <w:rPr>
          <w:i/>
          <w:iCs/>
          <w:sz w:val="28"/>
          <w:szCs w:val="28"/>
        </w:rPr>
        <w:t>…</w:t>
      </w:r>
    </w:p>
    <w:p w14:paraId="30850A42">
      <w:pPr>
        <w:spacing w:before="120" w:after="120"/>
        <w:ind w:firstLine="709"/>
        <w:jc w:val="both"/>
      </w:pPr>
      <w:r>
        <w:rPr>
          <w:i/>
          <w:iCs/>
          <w:sz w:val="28"/>
          <w:szCs w:val="28"/>
        </w:rPr>
        <w:t xml:space="preserve">Đối với máy móc, thiết bị đầu cuối cơ bản phục vụ công việc thường xuyên trên môi trường số quy định tại Mục C Phụ lục ban hành kèm theo Quyết định này, căn cứ chức năng, nhiệm vụ, tính chất công việc, nhu cầu sử dụng và khả năng nguồn kinh phí được phép sử dụng, </w:t>
      </w:r>
      <w:r>
        <w:rPr>
          <w:i/>
          <w:iCs/>
          <w:sz w:val="28"/>
          <w:szCs w:val="28"/>
          <w:u w:val="single"/>
        </w:rPr>
        <w:t>cơ quan, người có thẩm quyền quy định tại khoản 3 Điều 4 Quyết định này (bao gồm cơ quan, người được phân cấp thẩm quyền quyết định) quyết định số lượng và mức giá</w:t>
      </w:r>
      <w:r>
        <w:rPr>
          <w:i/>
          <w:iCs/>
          <w:sz w:val="28"/>
          <w:szCs w:val="28"/>
        </w:rPr>
        <w:t>; mức giá phù hợp với giá mua trên thị trường của chủng loại máy móc, thiết bị tương ứng.”.</w:t>
      </w:r>
    </w:p>
    <w:p w14:paraId="212F9C60">
      <w:pPr>
        <w:tabs>
          <w:tab w:val="left" w:pos="1120"/>
        </w:tabs>
        <w:spacing w:before="120" w:after="120"/>
        <w:ind w:firstLine="709"/>
        <w:jc w:val="both"/>
      </w:pPr>
      <w:r>
        <w:rPr>
          <w:bCs/>
          <w:color w:val="000000"/>
          <w:sz w:val="28"/>
          <w:szCs w:val="28"/>
          <w:shd w:val="clear" w:color="auto" w:fill="FFFFFF"/>
          <w:lang w:val="vi-VN"/>
        </w:rPr>
        <w:t xml:space="preserve">- </w:t>
      </w:r>
      <w:r>
        <w:rPr>
          <w:bCs/>
          <w:color w:val="000000"/>
          <w:sz w:val="28"/>
          <w:szCs w:val="28"/>
          <w:shd w:val="clear" w:color="auto" w:fill="FFFFFF"/>
        </w:rPr>
        <w:t xml:space="preserve">Tại </w:t>
      </w:r>
      <w:r>
        <w:rPr>
          <w:bCs/>
          <w:color w:val="000000"/>
          <w:sz w:val="28"/>
          <w:szCs w:val="28"/>
          <w:shd w:val="clear" w:color="auto" w:fill="FFFFFF"/>
          <w:lang w:val="vi-VN"/>
        </w:rPr>
        <w:t xml:space="preserve">khoản 3 Điều 1 </w:t>
      </w:r>
      <w:r>
        <w:rPr>
          <w:bCs/>
          <w:color w:val="000000"/>
          <w:sz w:val="28"/>
          <w:szCs w:val="28"/>
          <w:shd w:val="clear" w:color="auto" w:fill="FFFFFF"/>
        </w:rPr>
        <w:t>b</w:t>
      </w:r>
      <w:r>
        <w:rPr>
          <w:bCs/>
          <w:sz w:val="28"/>
          <w:szCs w:val="28"/>
          <w:lang w:val="vi-VN"/>
        </w:rPr>
        <w:t xml:space="preserve">ổ sung Điều 5a vào sau Điều 5 </w:t>
      </w:r>
      <w:r>
        <w:rPr>
          <w:sz w:val="28"/>
          <w:szCs w:val="28"/>
          <w:lang w:val="vi-VN"/>
        </w:rPr>
        <w:t>Quyết định số 15/2025/QĐ-TTg</w:t>
      </w:r>
      <w:r>
        <w:rPr>
          <w:bCs/>
          <w:sz w:val="28"/>
          <w:szCs w:val="28"/>
          <w:lang w:val="vi-VN"/>
        </w:rPr>
        <w:t xml:space="preserve"> như sau:</w:t>
      </w:r>
    </w:p>
    <w:p w14:paraId="7C3031B0">
      <w:pPr>
        <w:spacing w:before="120" w:after="120"/>
        <w:ind w:firstLine="709"/>
        <w:jc w:val="both"/>
      </w:pPr>
      <w:r>
        <w:rPr>
          <w:bCs/>
          <w:i/>
          <w:iCs/>
          <w:spacing w:val="6"/>
          <w:sz w:val="28"/>
          <w:szCs w:val="28"/>
        </w:rPr>
        <w:t>“</w:t>
      </w:r>
      <w:r>
        <w:rPr>
          <w:bCs/>
          <w:i/>
          <w:iCs/>
          <w:spacing w:val="6"/>
          <w:sz w:val="28"/>
          <w:szCs w:val="28"/>
          <w:lang w:val="vi-VN"/>
        </w:rPr>
        <w:t>Điều 5a. Máy móc, thiết bị phục vụ công tác bí mật nhà nước trên môi trường số</w:t>
      </w:r>
    </w:p>
    <w:p w14:paraId="1A4DC0C6">
      <w:pPr>
        <w:spacing w:before="120" w:after="120"/>
        <w:ind w:firstLine="709"/>
        <w:jc w:val="both"/>
      </w:pPr>
      <w:r>
        <w:rPr>
          <w:i/>
          <w:iCs/>
          <w:spacing w:val="-6"/>
          <w:sz w:val="28"/>
          <w:szCs w:val="28"/>
          <w:lang w:val="vi-VN"/>
        </w:rPr>
        <w:t>1. Đối với các chức danh tại các cơ quan, tổ chức, đơn vị mà theo chức năng,</w:t>
      </w:r>
      <w:r>
        <w:rPr>
          <w:i/>
          <w:iCs/>
          <w:sz w:val="28"/>
          <w:szCs w:val="28"/>
          <w:lang w:val="vi-VN"/>
        </w:rPr>
        <w:t xml:space="preserve"> </w:t>
      </w:r>
      <w:r>
        <w:rPr>
          <w:i/>
          <w:iCs/>
          <w:spacing w:val="-2"/>
          <w:sz w:val="28"/>
          <w:szCs w:val="28"/>
          <w:lang w:val="vi-VN"/>
        </w:rPr>
        <w:t>nhiệm vụ được giao phải thường xuyên xử lý công việc có nội dung thuộc phạm vi</w:t>
      </w:r>
      <w:r>
        <w:rPr>
          <w:i/>
          <w:iCs/>
          <w:sz w:val="28"/>
          <w:szCs w:val="28"/>
          <w:lang w:val="vi-VN"/>
        </w:rPr>
        <w:t xml:space="preserve"> bí mật nhà nước, ngoài việc được trang bị máy móc, thiết bị quy định tại Mục A Phụ lục ban hành kèm theo Quyết định này thì được trang bị máy móc, thiết bị quy định tại Mục D Phụ lục ban hành kèm theo Quyết định này; </w:t>
      </w:r>
      <w:r>
        <w:rPr>
          <w:i/>
          <w:iCs/>
          <w:sz w:val="28"/>
          <w:szCs w:val="28"/>
          <w:u w:val="single"/>
          <w:lang w:val="vi-VN"/>
        </w:rPr>
        <w:t>cơ quan, người có thẩm quyền quy định tại khoản 3 Điều 4 Quyết định này (bao gồm cơ quan, người được phân cấp thẩm quyền quyết định) căn cứ vào khối lượng, tính chất của công việc chứa bí mật nhà nước để quyết định số lượng máy móc, thiết bị trang bị cho các chức danh để phục vụ công tác bảo vệ bí mật nhà nước</w:t>
      </w:r>
      <w:r>
        <w:rPr>
          <w:i/>
          <w:iCs/>
          <w:sz w:val="28"/>
          <w:szCs w:val="28"/>
          <w:lang w:val="vi-VN"/>
        </w:rPr>
        <w:t>.</w:t>
      </w:r>
    </w:p>
    <w:p w14:paraId="1746D8A7">
      <w:pPr>
        <w:spacing w:before="120" w:after="120"/>
        <w:ind w:firstLine="709"/>
        <w:jc w:val="both"/>
      </w:pPr>
      <w:r>
        <w:rPr>
          <w:i/>
          <w:iCs/>
          <w:sz w:val="28"/>
          <w:szCs w:val="28"/>
          <w:lang w:val="vi-VN"/>
        </w:rPr>
        <w:t xml:space="preserve">2. Đối với các trường hợp còn lại, căn cứ chức năng, nhiệm vụ, tính chất, </w:t>
      </w:r>
      <w:r>
        <w:rPr>
          <w:i/>
          <w:iCs/>
          <w:spacing w:val="-6"/>
          <w:sz w:val="28"/>
          <w:szCs w:val="28"/>
          <w:lang w:val="vi-VN"/>
        </w:rPr>
        <w:t>mức độ bí mật của công việc theo quy định của pháp luật về bảo vệ bí mật nhà nước,</w:t>
      </w:r>
      <w:r>
        <w:rPr>
          <w:i/>
          <w:iCs/>
          <w:sz w:val="28"/>
          <w:szCs w:val="28"/>
          <w:lang w:val="vi-VN"/>
        </w:rPr>
        <w:t xml:space="preserve"> nhu cầu sử dụng, </w:t>
      </w:r>
      <w:r>
        <w:rPr>
          <w:i/>
          <w:iCs/>
          <w:sz w:val="28"/>
          <w:szCs w:val="28"/>
          <w:u w:val="single"/>
          <w:lang w:val="vi-VN"/>
        </w:rPr>
        <w:t xml:space="preserve">cơ quan, người có thẩm quyền quy định tại khoản 3 Điều 4 Quyết định này (bao gồm cơ quan, người được phân cấp thẩm quyền quyết định) </w:t>
      </w:r>
      <w:r>
        <w:rPr>
          <w:i/>
          <w:iCs/>
          <w:spacing w:val="2"/>
          <w:sz w:val="28"/>
          <w:szCs w:val="28"/>
          <w:u w:val="single"/>
          <w:lang w:val="vi-VN"/>
        </w:rPr>
        <w:t>quyết định số lượng máy móc, thiết bị quy định tại Mục D Phụ lục ban hành</w:t>
      </w:r>
      <w:r>
        <w:rPr>
          <w:i/>
          <w:iCs/>
          <w:sz w:val="28"/>
          <w:szCs w:val="28"/>
          <w:u w:val="single"/>
          <w:lang w:val="vi-VN"/>
        </w:rPr>
        <w:t xml:space="preserve"> kèm theo Quyết định này cho các chức danh hoặc tại phòng làm việc của các đơn vị thuộc phạm vi quản lý để phục vụ công tác bảo vệ bí mật nhà nước</w:t>
      </w:r>
      <w:r>
        <w:rPr>
          <w:i/>
          <w:iCs/>
          <w:sz w:val="28"/>
          <w:szCs w:val="28"/>
          <w:lang w:val="vi-VN"/>
        </w:rPr>
        <w:t>.</w:t>
      </w:r>
    </w:p>
    <w:p w14:paraId="09E973CA">
      <w:pPr>
        <w:spacing w:before="120" w:after="120"/>
        <w:ind w:firstLine="709"/>
        <w:jc w:val="both"/>
      </w:pPr>
      <w:r>
        <w:rPr>
          <w:i/>
          <w:iCs/>
          <w:sz w:val="28"/>
          <w:szCs w:val="28"/>
          <w:lang w:val="vi-VN"/>
        </w:rPr>
        <w:t xml:space="preserve">3. Mức giá của máy móc, thiết bị quy định tại Mục D Phụ lục ban hành </w:t>
      </w:r>
      <w:r>
        <w:rPr>
          <w:i/>
          <w:iCs/>
          <w:spacing w:val="-2"/>
          <w:sz w:val="28"/>
          <w:szCs w:val="28"/>
          <w:lang w:val="vi-VN"/>
        </w:rPr>
        <w:t>kèm theo Quyết định này là mức giá máy móc, thiết bị quy định tại Mục A, Mục B</w:t>
      </w:r>
      <w:r>
        <w:rPr>
          <w:i/>
          <w:iCs/>
          <w:sz w:val="28"/>
          <w:szCs w:val="28"/>
          <w:lang w:val="vi-VN"/>
        </w:rPr>
        <w:t xml:space="preserve"> </w:t>
      </w:r>
      <w:r>
        <w:rPr>
          <w:i/>
          <w:iCs/>
          <w:spacing w:val="-4"/>
          <w:sz w:val="28"/>
          <w:szCs w:val="28"/>
          <w:lang w:val="vi-VN"/>
        </w:rPr>
        <w:t>Phụ lục ban hành kèm theo Quyết định này. Trường hợp cơ quan chủ trì triển khai</w:t>
      </w:r>
      <w:r>
        <w:rPr>
          <w:i/>
          <w:iCs/>
          <w:sz w:val="28"/>
          <w:szCs w:val="28"/>
          <w:lang w:val="vi-VN"/>
        </w:rPr>
        <w:t xml:space="preserve"> xử lý hồ sơ công việc chứa bí mật nhà nước trên môi trường số yêu cầu trang bị </w:t>
      </w:r>
      <w:r>
        <w:rPr>
          <w:i/>
          <w:iCs/>
          <w:spacing w:val="4"/>
          <w:sz w:val="28"/>
          <w:szCs w:val="28"/>
          <w:lang w:val="vi-VN"/>
        </w:rPr>
        <w:t>máy móc, thiết bị (từ số thứ tự 1 đến số thứ tự 6) có yêu cầu về tính năng, dung lượng,</w:t>
      </w:r>
      <w:r>
        <w:rPr>
          <w:i/>
          <w:iCs/>
          <w:sz w:val="28"/>
          <w:szCs w:val="28"/>
          <w:lang w:val="vi-VN"/>
        </w:rPr>
        <w:t xml:space="preserve"> cấu hình mà có mức giá cao hơn và trường hợp trang bị máy móc, thiết bị tại số thứ tự 7, số thứ tự 8 Mục D Phụ lục ban hành kèm theo Quyết định này thì </w:t>
      </w:r>
      <w:r>
        <w:rPr>
          <w:i/>
          <w:iCs/>
          <w:sz w:val="28"/>
          <w:szCs w:val="28"/>
          <w:u w:val="single"/>
          <w:lang w:val="vi-VN"/>
        </w:rPr>
        <w:t>mức giá do cơ quan, người có thẩm quyền quy định tại khoản 3 Điều 4 Quyết định này (bao gồm cơ quan, người được phân cấp thẩm quyền quyết định) quyết định phù hợp với giá mua trên thị trường của chủng loại máy móc, thiết bị tương ứng</w:t>
      </w:r>
      <w:r>
        <w:rPr>
          <w:i/>
          <w:iCs/>
          <w:sz w:val="28"/>
          <w:szCs w:val="28"/>
          <w:lang w:val="vi-VN"/>
        </w:rPr>
        <w:t>.”.</w:t>
      </w:r>
    </w:p>
    <w:p w14:paraId="683BD55E">
      <w:pPr>
        <w:spacing w:before="120" w:after="120"/>
        <w:ind w:firstLine="709"/>
        <w:jc w:val="both"/>
      </w:pPr>
      <w:r>
        <w:rPr>
          <w:sz w:val="28"/>
          <w:szCs w:val="28"/>
          <w:lang w:val="vi-VN"/>
        </w:rPr>
        <w:t xml:space="preserve">- </w:t>
      </w:r>
      <w:r>
        <w:rPr>
          <w:sz w:val="28"/>
          <w:szCs w:val="28"/>
        </w:rPr>
        <w:t>Tại k</w:t>
      </w:r>
      <w:r>
        <w:rPr>
          <w:sz w:val="28"/>
          <w:szCs w:val="28"/>
          <w:lang w:val="vi-VN"/>
        </w:rPr>
        <w:t>hoản 1, 2</w:t>
      </w:r>
      <w:r>
        <w:rPr>
          <w:sz w:val="28"/>
          <w:szCs w:val="28"/>
        </w:rPr>
        <w:t xml:space="preserve">, </w:t>
      </w:r>
      <w:r>
        <w:rPr>
          <w:sz w:val="28"/>
          <w:szCs w:val="28"/>
          <w:lang w:val="vi-VN"/>
        </w:rPr>
        <w:t>3 Điều 2 quy định:</w:t>
      </w:r>
    </w:p>
    <w:p w14:paraId="2E98F90A">
      <w:pPr>
        <w:spacing w:before="120" w:after="120"/>
        <w:ind w:firstLine="709"/>
        <w:jc w:val="both"/>
        <w:rPr>
          <w:i/>
          <w:iCs/>
          <w:sz w:val="28"/>
          <w:szCs w:val="28"/>
          <w:lang w:val="vi-VN"/>
        </w:rPr>
      </w:pPr>
      <w:r>
        <w:rPr>
          <w:i/>
          <w:iCs/>
          <w:sz w:val="28"/>
          <w:szCs w:val="28"/>
          <w:lang w:val="vi-VN"/>
        </w:rPr>
        <w:t>“1. Bổ sung một số cụm từ như sau:</w:t>
      </w:r>
    </w:p>
    <w:p w14:paraId="559DC947">
      <w:pPr>
        <w:spacing w:before="120" w:after="120"/>
        <w:ind w:firstLine="709"/>
        <w:jc w:val="both"/>
      </w:pPr>
      <w:r>
        <w:rPr>
          <w:i/>
          <w:iCs/>
          <w:sz w:val="28"/>
          <w:szCs w:val="28"/>
          <w:lang w:val="vi-VN"/>
        </w:rPr>
        <w:t xml:space="preserve">a) Bổ sung cụm từ “(bao gồm cơ quan, người được phân cấp thẩm quyền </w:t>
      </w:r>
      <w:r>
        <w:rPr>
          <w:i/>
          <w:iCs/>
          <w:spacing w:val="-2"/>
          <w:sz w:val="28"/>
          <w:szCs w:val="28"/>
          <w:lang w:val="vi-VN"/>
        </w:rPr>
        <w:t>quyết định)” vào sau cụm từ “cơ quan, người có thẩm quyền quy định tại khoản 3</w:t>
      </w:r>
      <w:r>
        <w:rPr>
          <w:i/>
          <w:iCs/>
          <w:sz w:val="28"/>
          <w:szCs w:val="28"/>
          <w:lang w:val="vi-VN"/>
        </w:rPr>
        <w:t xml:space="preserve"> Điều 4 Quyết định này” tại điểm b, điểm c khoản 2, điểm b khoản 3 Điều 6.</w:t>
      </w:r>
    </w:p>
    <w:p w14:paraId="04AA9E26">
      <w:pPr>
        <w:spacing w:before="120" w:after="120"/>
        <w:ind w:firstLine="709"/>
        <w:jc w:val="both"/>
        <w:rPr>
          <w:i/>
          <w:iCs/>
          <w:sz w:val="28"/>
          <w:szCs w:val="28"/>
          <w:lang w:val="vi-VN"/>
        </w:rPr>
      </w:pPr>
      <w:r>
        <w:rPr>
          <w:i/>
          <w:iCs/>
          <w:sz w:val="28"/>
          <w:szCs w:val="28"/>
          <w:lang w:val="vi-VN"/>
        </w:rPr>
        <w:t>b) Bổ sung cụm từ “không trên môi trường số” và sau cụm từ “máy móc, thiết bị phục vụ công tác bí mật nhà nước” tại điểm a khoản 3 Điều 6.</w:t>
      </w:r>
    </w:p>
    <w:p w14:paraId="2806D90A">
      <w:pPr>
        <w:spacing w:before="120" w:after="120"/>
        <w:ind w:firstLine="709"/>
        <w:jc w:val="both"/>
        <w:rPr>
          <w:i/>
          <w:iCs/>
          <w:sz w:val="28"/>
          <w:szCs w:val="28"/>
          <w:lang w:val="vi-VN"/>
        </w:rPr>
      </w:pPr>
      <w:r>
        <w:rPr>
          <w:i/>
          <w:iCs/>
          <w:sz w:val="28"/>
          <w:szCs w:val="28"/>
          <w:lang w:val="vi-VN"/>
        </w:rPr>
        <w:t>2. Thay thế một số cụm từ như sau:</w:t>
      </w:r>
    </w:p>
    <w:p w14:paraId="61436F7A">
      <w:pPr>
        <w:spacing w:before="120" w:after="120"/>
        <w:ind w:firstLine="709"/>
        <w:jc w:val="both"/>
      </w:pPr>
      <w:r>
        <w:rPr>
          <w:i/>
          <w:iCs/>
          <w:spacing w:val="-6"/>
          <w:sz w:val="28"/>
          <w:szCs w:val="28"/>
          <w:lang w:val="vi-VN"/>
        </w:rPr>
        <w:t>a) Thay thế cụm từ “Phụ lục I, Phụ lục II ban hành kèm theo Quyết định này”</w:t>
      </w:r>
      <w:r>
        <w:rPr>
          <w:i/>
          <w:iCs/>
          <w:sz w:val="28"/>
          <w:szCs w:val="28"/>
          <w:lang w:val="vi-VN"/>
        </w:rPr>
        <w:t xml:space="preserve"> bằng cụm từ “Phụ lục ban hành kèm theo Quyết định này” tại khoản 2 Điều 3, điểm a khoản 3 Điều 6, khoản 4 Điều 8.</w:t>
      </w:r>
    </w:p>
    <w:p w14:paraId="04D62698">
      <w:pPr>
        <w:spacing w:before="120" w:after="120"/>
        <w:ind w:firstLine="709"/>
        <w:jc w:val="both"/>
      </w:pPr>
      <w:r>
        <w:rPr>
          <w:i/>
          <w:iCs/>
          <w:spacing w:val="-2"/>
          <w:sz w:val="28"/>
          <w:szCs w:val="28"/>
          <w:lang w:val="vi-VN"/>
        </w:rPr>
        <w:t>b) Thay thế cụm từ “Mục A Phụ lục I, Mục A Phụ lục II ban hành kèm theo</w:t>
      </w:r>
      <w:r>
        <w:rPr>
          <w:i/>
          <w:iCs/>
          <w:sz w:val="28"/>
          <w:szCs w:val="28"/>
          <w:lang w:val="vi-VN"/>
        </w:rPr>
        <w:t xml:space="preserve"> </w:t>
      </w:r>
      <w:r>
        <w:rPr>
          <w:i/>
          <w:iCs/>
          <w:spacing w:val="-4"/>
          <w:sz w:val="28"/>
          <w:szCs w:val="28"/>
          <w:lang w:val="vi-VN"/>
        </w:rPr>
        <w:t>Quyết định này” bằng cụm từ “Mục A, Mục C, Mục D Phụ lục ban hành kèm theo</w:t>
      </w:r>
      <w:r>
        <w:rPr>
          <w:i/>
          <w:iCs/>
          <w:sz w:val="28"/>
          <w:szCs w:val="28"/>
          <w:lang w:val="vi-VN"/>
        </w:rPr>
        <w:t xml:space="preserve"> Quyết định này” tại khoản 1 Điều 4.</w:t>
      </w:r>
    </w:p>
    <w:p w14:paraId="19BE15C6">
      <w:pPr>
        <w:spacing w:before="120" w:after="120"/>
        <w:ind w:firstLine="709"/>
        <w:jc w:val="both"/>
      </w:pPr>
      <w:r>
        <w:rPr>
          <w:i/>
          <w:iCs/>
          <w:spacing w:val="2"/>
          <w:sz w:val="28"/>
          <w:szCs w:val="28"/>
          <w:lang w:val="vi-VN"/>
        </w:rPr>
        <w:t>c) Thay thế cụm từ “Chánh Văn phòng Trung ương Đảng, Bộ trưởng,</w:t>
      </w:r>
      <w:r>
        <w:rPr>
          <w:i/>
          <w:iCs/>
          <w:sz w:val="28"/>
          <w:szCs w:val="28"/>
          <w:lang w:val="vi-VN"/>
        </w:rPr>
        <w:t xml:space="preserve"> Thủ trưởng cơ quan trung ương, Ban Thường trực Ủy ban Trung ương Mặt trận Tổ quốc Việt Nam, Ban Thường vụ tỉnh ủy, thành ủy, Ủy ban nhân dân cấp tỉnh quyết định hoặc phân cấp thẩm quyền quyết định” bằng cụm từ “cơ quan, người có thẩm quyền quy định tại khoản 3 Điều 4 Quyết định này (bao gồm cơ quan, người được phân cấp thẩm quyền quyết định) quyết định” tại điểm b khoản 4 Điều 4.</w:t>
      </w:r>
    </w:p>
    <w:p w14:paraId="2A322A3A">
      <w:pPr>
        <w:spacing w:before="120" w:after="120"/>
        <w:ind w:firstLine="709"/>
        <w:jc w:val="both"/>
      </w:pPr>
      <w:r>
        <w:rPr>
          <w:i/>
          <w:iCs/>
          <w:spacing w:val="-2"/>
          <w:sz w:val="28"/>
          <w:szCs w:val="28"/>
          <w:lang w:val="vi-VN"/>
        </w:rPr>
        <w:t>d) Thay thế cụm từ “Mục B Phụ lục I, Mục B Phụ lục II ban hành kèm theo</w:t>
      </w:r>
      <w:r>
        <w:rPr>
          <w:i/>
          <w:iCs/>
          <w:sz w:val="28"/>
          <w:szCs w:val="28"/>
          <w:lang w:val="vi-VN"/>
        </w:rPr>
        <w:t xml:space="preserve"> </w:t>
      </w:r>
      <w:r>
        <w:rPr>
          <w:i/>
          <w:iCs/>
          <w:spacing w:val="-4"/>
          <w:sz w:val="28"/>
          <w:szCs w:val="28"/>
          <w:lang w:val="vi-VN"/>
        </w:rPr>
        <w:t>Quyết định này” bằng cụm từ “Mục B, Mục C, Mục D Phụ lục ban hành kèm theo</w:t>
      </w:r>
      <w:r>
        <w:rPr>
          <w:i/>
          <w:iCs/>
          <w:sz w:val="28"/>
          <w:szCs w:val="28"/>
          <w:lang w:val="vi-VN"/>
        </w:rPr>
        <w:t xml:space="preserve"> Quyết định này” tại điểm a khoản 2 Điều 5.</w:t>
      </w:r>
    </w:p>
    <w:p w14:paraId="657A77FF">
      <w:pPr>
        <w:spacing w:before="120" w:after="120"/>
        <w:ind w:firstLine="709"/>
        <w:jc w:val="both"/>
        <w:rPr>
          <w:i/>
          <w:iCs/>
          <w:sz w:val="28"/>
          <w:szCs w:val="28"/>
          <w:lang w:val="vi-VN"/>
        </w:rPr>
      </w:pPr>
      <w:r>
        <w:rPr>
          <w:i/>
          <w:iCs/>
          <w:sz w:val="28"/>
          <w:szCs w:val="28"/>
          <w:lang w:val="vi-VN"/>
        </w:rPr>
        <w:t>…</w:t>
      </w:r>
    </w:p>
    <w:p w14:paraId="5F960864">
      <w:pPr>
        <w:spacing w:before="120" w:after="120"/>
        <w:ind w:firstLine="709"/>
        <w:jc w:val="both"/>
        <w:rPr>
          <w:i/>
          <w:iCs/>
          <w:sz w:val="28"/>
          <w:szCs w:val="28"/>
          <w:lang w:val="vi-VN"/>
        </w:rPr>
      </w:pPr>
      <w:r>
        <w:rPr>
          <w:i/>
          <w:iCs/>
          <w:sz w:val="28"/>
          <w:szCs w:val="28"/>
          <w:lang w:val="vi-VN"/>
        </w:rPr>
        <w:t>e) Thay thế cụm từ “cơ quan, người có thẩm quyền quy định tại khoản 3 Điều 4 này” bằng cụm từ “cơ quan, người có thẩm quyền quy định tại khoản 3 Điều 4 Quyết định này (bao gồm cơ quan, người được phân cấp thẩm quyền quyết định)” tại khoản 3 Điều 5.</w:t>
      </w:r>
    </w:p>
    <w:p w14:paraId="27906021">
      <w:pPr>
        <w:spacing w:before="120" w:after="120"/>
        <w:ind w:firstLine="709"/>
        <w:jc w:val="both"/>
        <w:rPr>
          <w:i/>
          <w:iCs/>
          <w:sz w:val="28"/>
          <w:szCs w:val="28"/>
          <w:lang w:val="vi-VN"/>
        </w:rPr>
      </w:pPr>
      <w:r>
        <w:rPr>
          <w:i/>
          <w:iCs/>
          <w:sz w:val="28"/>
          <w:szCs w:val="28"/>
          <w:lang w:val="vi-VN"/>
        </w:rPr>
        <w:t>3. Bãi bỏ cụm từ “thuộc trung ương và địa phương” tại khoản 1 Điều 4, điểm a khoản 2 Điều 5.</w:t>
      </w:r>
    </w:p>
    <w:p w14:paraId="0B3782A3">
      <w:pPr>
        <w:spacing w:before="120" w:after="120"/>
        <w:ind w:firstLine="709"/>
        <w:jc w:val="both"/>
        <w:rPr>
          <w:i/>
          <w:iCs/>
          <w:sz w:val="28"/>
          <w:szCs w:val="28"/>
          <w:lang w:val="vi-VN"/>
        </w:rPr>
      </w:pPr>
      <w:r>
        <w:rPr>
          <w:i/>
          <w:iCs/>
          <w:sz w:val="28"/>
          <w:szCs w:val="28"/>
          <w:lang w:val="vi-VN"/>
        </w:rPr>
        <w:t>…”</w:t>
      </w:r>
    </w:p>
    <w:p w14:paraId="55512A3B">
      <w:pPr>
        <w:pStyle w:val="60"/>
        <w:spacing w:before="120" w:after="120"/>
        <w:ind w:firstLine="709"/>
        <w:jc w:val="both"/>
        <w:rPr>
          <w:sz w:val="28"/>
          <w:szCs w:val="28"/>
        </w:rPr>
      </w:pPr>
      <w:r>
        <w:rPr>
          <w:sz w:val="28"/>
          <w:szCs w:val="28"/>
        </w:rPr>
        <w:t>Như vậy, Quyết định số 10/2026/QĐ-TTg đã bổ sung một số nội dung, thẩm quyền mới so với Quyết định số 15/2025/QĐ-TTg; trong đó: bổ sung quy định về thẩm quyền quyết định đối với máy móc, thiết bị đầu cuối cơ bản phục vụ công việc thường xuyên trên môi trường số, máy móc, thiết bị phục vụ công tác bí mật nhà nước trên môi trường số; đồng thời, sửa đổi, bổ sung một số nội dung, từ ngữ có liên quan.</w:t>
      </w:r>
    </w:p>
    <w:p w14:paraId="2C4E7317">
      <w:pPr>
        <w:spacing w:before="120" w:after="120"/>
        <w:ind w:firstLine="709"/>
        <w:jc w:val="both"/>
      </w:pPr>
      <w:r>
        <w:rPr>
          <w:sz w:val="28"/>
        </w:rPr>
        <w:t>Do Quyết định số 10/2026/QĐ-TTg đã sửa đổi, bổ sung căn cứ pháp lý và một số nội dung thuộc thẩm quyền quyết định, phân cấp thẩm quyền quyết định tiêu chuẩn, định mức sử dụng máy móc, thiết bị, Quyết định số 98/2025/QĐ-UBND cần được sửa đổi, bổ sung tương ứng để bảo đảm phù hợp, thống nhất với quy định hiện hành.</w:t>
      </w:r>
    </w:p>
    <w:p w14:paraId="66E74CF7">
      <w:pPr>
        <w:spacing w:before="120" w:after="120"/>
        <w:ind w:firstLine="709"/>
        <w:jc w:val="both"/>
        <w:rPr>
          <w:iCs/>
          <w:sz w:val="28"/>
          <w:szCs w:val="28"/>
        </w:rPr>
      </w:pPr>
      <w:r>
        <w:rPr>
          <w:iCs/>
          <w:sz w:val="28"/>
          <w:szCs w:val="28"/>
        </w:rPr>
        <w:t>b) Thẩm quyền phân cấp và sửa đổi, bổ sung Văn bản quy phạm pháp luật:</w:t>
      </w:r>
    </w:p>
    <w:p w14:paraId="01E99CB7">
      <w:pPr>
        <w:spacing w:before="120" w:after="120"/>
        <w:ind w:firstLine="720"/>
        <w:jc w:val="both"/>
      </w:pPr>
      <w:r>
        <w:rPr>
          <w:rFonts w:eastAsia="Calibri"/>
          <w:color w:val="000000"/>
          <w:sz w:val="28"/>
          <w:szCs w:val="28"/>
          <w:shd w:val="clear" w:color="auto" w:fill="FFFFFF"/>
        </w:rPr>
        <w:t xml:space="preserve">- Việc phân cấp của Ủy ban nhân dân cấp tỉnh được thực hiện theo quy định tại khoản 1, khoản 4 </w:t>
      </w:r>
      <w:r>
        <w:rPr>
          <w:rFonts w:eastAsia="Calibri"/>
          <w:color w:val="000000"/>
          <w:sz w:val="28"/>
          <w:szCs w:val="28"/>
        </w:rPr>
        <w:t xml:space="preserve">Điều 13 Luật Tổ chức chính quyền địa phương số </w:t>
      </w:r>
      <w:r>
        <w:rPr>
          <w:rFonts w:eastAsia="Calibri"/>
          <w:color w:val="000000"/>
          <w:sz w:val="28"/>
          <w:szCs w:val="28"/>
          <w:shd w:val="clear" w:color="auto" w:fill="FFFFFF"/>
        </w:rPr>
        <w:t>72/2025/QH15 như sau:</w:t>
      </w:r>
    </w:p>
    <w:p w14:paraId="3F7C077B">
      <w:pPr>
        <w:spacing w:before="120" w:after="120"/>
        <w:ind w:firstLine="720"/>
        <w:jc w:val="both"/>
      </w:pPr>
      <w:r>
        <w:rPr>
          <w:i/>
          <w:color w:val="000000"/>
          <w:sz w:val="28"/>
          <w:szCs w:val="28"/>
        </w:rPr>
        <w:t>‘1. “</w:t>
      </w:r>
      <w:r>
        <w:rPr>
          <w:b/>
          <w:i/>
          <w:color w:val="000000"/>
          <w:sz w:val="28"/>
          <w:szCs w:val="28"/>
        </w:rPr>
        <w:t>Ủy ban nhân dân cấp tỉnh… phân cấp cho cơ quan chuyên môn, tổ chức hành chính khác thuộc Ủy ban nhân dân cấp mình, Ủy ban nhân dân, Chủ tịch Ủy ban nhân dân cấp xã</w:t>
      </w:r>
      <w:r>
        <w:rPr>
          <w:i/>
          <w:color w:val="000000"/>
          <w:sz w:val="28"/>
          <w:szCs w:val="28"/>
        </w:rPr>
        <w:t xml:space="preserve"> thực hiện liên tục, thường xuyên một hoặc một số nhiệm vụ, quyền hạn mà mình được giao theo quy định của pháp luật, trừ trường hợp pháp luật quy định không được phân cấp.</w:t>
      </w:r>
    </w:p>
    <w:p w14:paraId="79C7BEA7">
      <w:pPr>
        <w:spacing w:before="120" w:after="120"/>
        <w:ind w:firstLine="720"/>
        <w:jc w:val="both"/>
      </w:pPr>
      <w:r>
        <w:rPr>
          <w:rFonts w:eastAsia="Calibri"/>
          <w:b/>
          <w:i/>
          <w:color w:val="000000"/>
          <w:sz w:val="28"/>
          <w:szCs w:val="28"/>
        </w:rPr>
        <w:t>Ủy ban nhân dân cấp tỉnh phân cấp cho đơn vị sự nghiệp công lập thuộc phạm vi quản lý</w:t>
      </w:r>
      <w:r>
        <w:rPr>
          <w:rFonts w:eastAsia="Calibri"/>
          <w:i/>
          <w:color w:val="000000"/>
          <w:sz w:val="28"/>
          <w:szCs w:val="28"/>
        </w:rPr>
        <w:t xml:space="preserve"> thực hiện liên tục, thường xuyên một hoặc một số nhiệm vụ, quyền hạn mà mình được giao theo quy định của pháp luật để tăng quyền tự chủ cho các đơn vị sự nghiệp công lập trong việc quản trị đơn vị và cung ứng dịch vụ công, trừ trường hợp pháp luật quy định không được phân cấp”.</w:t>
      </w:r>
    </w:p>
    <w:p w14:paraId="32200CEC">
      <w:pPr>
        <w:spacing w:before="120" w:after="120"/>
        <w:ind w:firstLine="720"/>
        <w:jc w:val="both"/>
      </w:pPr>
      <w:r>
        <w:rPr>
          <w:rFonts w:eastAsia="Calibri"/>
          <w:i/>
          <w:color w:val="000000"/>
          <w:sz w:val="28"/>
          <w:szCs w:val="28"/>
          <w:shd w:val="clear" w:color="auto" w:fill="FFFFFF"/>
        </w:rPr>
        <w:t xml:space="preserve">4. Cơ quan, tổ chức, đơn vị, cá nhân được phân cấp có quyền tham gia ý kiến đối với dự thảo văn bản phân cấp; đề nghị cơ quan, cá nhân phân cấp điều chỉnh nội dung phân cấp; </w:t>
      </w:r>
      <w:r>
        <w:rPr>
          <w:rFonts w:eastAsia="Calibri"/>
          <w:b/>
          <w:i/>
          <w:color w:val="000000"/>
          <w:sz w:val="28"/>
          <w:szCs w:val="28"/>
          <w:shd w:val="clear" w:color="auto" w:fill="FFFFFF"/>
        </w:rPr>
        <w:t>chịu trách nhiệm trước pháp luật, trước cơ quan, cá nhân phân cấp về kết quả thực hiện nhiệm vụ, quyền hạn được phân cấp</w:t>
      </w:r>
      <w:r>
        <w:rPr>
          <w:rFonts w:eastAsia="Calibri"/>
          <w:i/>
          <w:color w:val="000000"/>
          <w:sz w:val="28"/>
          <w:szCs w:val="28"/>
          <w:shd w:val="clear" w:color="auto" w:fill="FFFFFF"/>
        </w:rPr>
        <w:t xml:space="preserve">; định kỳ báo cáo, đánh giá việc thực hiện nhiệm vụ, quyền hạn được phân cấp và </w:t>
      </w:r>
      <w:r>
        <w:rPr>
          <w:rFonts w:eastAsia="Calibri"/>
          <w:b/>
          <w:i/>
          <w:color w:val="000000"/>
          <w:sz w:val="28"/>
          <w:szCs w:val="28"/>
          <w:shd w:val="clear" w:color="auto" w:fill="FFFFFF"/>
        </w:rPr>
        <w:t>không được phân cấp tiếp nhiệm vụ, quyền hạn mà mình được phân cấp.”</w:t>
      </w:r>
    </w:p>
    <w:p w14:paraId="4DCDDD2D">
      <w:pPr>
        <w:numPr>
          <w:ilvl w:val="0"/>
          <w:numId w:val="2"/>
        </w:numPr>
        <w:tabs>
          <w:tab w:val="left" w:pos="851"/>
        </w:tabs>
        <w:spacing w:before="120" w:after="120"/>
        <w:ind w:left="0" w:firstLine="709"/>
        <w:jc w:val="both"/>
        <w:rPr>
          <w:sz w:val="28"/>
          <w:szCs w:val="28"/>
          <w:lang w:val="vi-VN"/>
        </w:rPr>
      </w:pPr>
      <w:r>
        <w:rPr>
          <w:color w:val="000000"/>
          <w:sz w:val="28"/>
          <w:szCs w:val="28"/>
          <w:lang w:val="vi-VN"/>
        </w:rPr>
        <w:t xml:space="preserve">Theo </w:t>
      </w:r>
      <w:r>
        <w:rPr>
          <w:color w:val="000000"/>
          <w:sz w:val="28"/>
          <w:szCs w:val="28"/>
        </w:rPr>
        <w:t xml:space="preserve">quy định tại </w:t>
      </w:r>
      <w:r>
        <w:rPr>
          <w:color w:val="000000"/>
          <w:sz w:val="28"/>
          <w:szCs w:val="28"/>
          <w:lang w:val="vi-VN"/>
        </w:rPr>
        <w:t xml:space="preserve">khoản 1 Điều 8 </w:t>
      </w:r>
      <w:r>
        <w:rPr>
          <w:sz w:val="28"/>
          <w:szCs w:val="28"/>
          <w:lang w:val="vi-VN"/>
        </w:rPr>
        <w:t xml:space="preserve">Luật </w:t>
      </w:r>
      <w:r>
        <w:rPr>
          <w:sz w:val="28"/>
          <w:szCs w:val="28"/>
        </w:rPr>
        <w:t xml:space="preserve">ban hành Văn bản quy phạm pháp luật </w:t>
      </w:r>
      <w:r>
        <w:rPr>
          <w:sz w:val="28"/>
          <w:szCs w:val="28"/>
          <w:lang w:val="vi-VN"/>
        </w:rPr>
        <w:t>số 64/2025/QH15:</w:t>
      </w:r>
    </w:p>
    <w:p w14:paraId="68FD80A4">
      <w:pPr>
        <w:tabs>
          <w:tab w:val="left" w:pos="851"/>
        </w:tabs>
        <w:spacing w:before="120" w:after="120"/>
        <w:ind w:firstLine="709"/>
        <w:jc w:val="both"/>
      </w:pPr>
      <w:r>
        <w:rPr>
          <w:i/>
          <w:iCs/>
          <w:sz w:val="28"/>
          <w:szCs w:val="28"/>
          <w:lang w:val="vi-VN"/>
        </w:rPr>
        <w:t xml:space="preserve">“1. </w:t>
      </w:r>
      <w:r>
        <w:rPr>
          <w:i/>
          <w:iCs/>
          <w:sz w:val="28"/>
          <w:szCs w:val="28"/>
          <w:u w:val="single"/>
          <w:lang w:val="vi-VN"/>
        </w:rPr>
        <w:t xml:space="preserve">Văn bản quy phạm pháp luật chỉ được sửa đổi, bổ sung, thay thế bằng </w:t>
      </w:r>
      <w:r>
        <w:rPr>
          <w:i/>
          <w:iCs/>
          <w:spacing w:val="6"/>
          <w:sz w:val="28"/>
          <w:szCs w:val="28"/>
          <w:u w:val="single"/>
          <w:lang w:val="vi-VN"/>
        </w:rPr>
        <w:t>văn bản quy phạm pháp luật của chính cơ quan</w:t>
      </w:r>
      <w:r>
        <w:rPr>
          <w:i/>
          <w:iCs/>
          <w:spacing w:val="6"/>
          <w:sz w:val="28"/>
          <w:szCs w:val="28"/>
          <w:lang w:val="vi-VN"/>
        </w:rPr>
        <w:t xml:space="preserve">, người </w:t>
      </w:r>
      <w:r>
        <w:rPr>
          <w:i/>
          <w:iCs/>
          <w:spacing w:val="6"/>
          <w:sz w:val="28"/>
          <w:szCs w:val="28"/>
          <w:u w:val="single"/>
          <w:lang w:val="vi-VN"/>
        </w:rPr>
        <w:t>có thẩm quyền đã</w:t>
      </w:r>
      <w:r>
        <w:rPr>
          <w:i/>
          <w:iCs/>
          <w:sz w:val="28"/>
          <w:szCs w:val="28"/>
          <w:u w:val="single"/>
          <w:lang w:val="vi-VN"/>
        </w:rPr>
        <w:t xml:space="preserve"> ban hành văn bản đó</w:t>
      </w:r>
      <w:r>
        <w:rPr>
          <w:i/>
          <w:iCs/>
          <w:sz w:val="28"/>
          <w:szCs w:val="28"/>
          <w:lang w:val="vi-VN"/>
        </w:rPr>
        <w:t xml:space="preserve"> hoặc bị đình chỉ việc thi hành bằng văn bản của cơ quan, người có thẩm quyền, trừ trường hợp quy định tại điểm a và điểm b khoản 2 Điều 54 của Luật này hoặc luật, nghị quyết của Quốc hội có quy định khác.”</w:t>
      </w:r>
    </w:p>
    <w:p w14:paraId="4ECC6B64">
      <w:pPr>
        <w:tabs>
          <w:tab w:val="left" w:pos="851"/>
        </w:tabs>
        <w:spacing w:before="120" w:after="120"/>
        <w:ind w:firstLine="709"/>
        <w:jc w:val="both"/>
        <w:rPr>
          <w:iCs/>
          <w:sz w:val="28"/>
          <w:szCs w:val="28"/>
        </w:rPr>
      </w:pPr>
      <w:r>
        <w:rPr>
          <w:iCs/>
          <w:sz w:val="28"/>
          <w:szCs w:val="28"/>
        </w:rPr>
        <w:t xml:space="preserve">Căn cứ các quy định nêu trên, thẩm quyền phân cấp và sửa đổi, bổ sung Quyết định số 98/2025/QĐ-UBND thuộc UBND tỉnh. </w:t>
      </w:r>
    </w:p>
    <w:p w14:paraId="762BF164">
      <w:pPr>
        <w:spacing w:before="120" w:after="120"/>
        <w:ind w:firstLine="709"/>
        <w:jc w:val="both"/>
        <w:rPr>
          <w:b/>
          <w:iCs/>
          <w:sz w:val="28"/>
          <w:szCs w:val="28"/>
        </w:rPr>
      </w:pPr>
      <w:r>
        <w:rPr>
          <w:b/>
          <w:iCs/>
          <w:sz w:val="28"/>
          <w:szCs w:val="28"/>
        </w:rPr>
        <w:t xml:space="preserve">2. Cơ sở thực tiễn </w:t>
      </w:r>
    </w:p>
    <w:p w14:paraId="42A7BB1A">
      <w:pPr>
        <w:pStyle w:val="16"/>
        <w:spacing w:before="120" w:after="120"/>
        <w:ind w:firstLine="709"/>
        <w:jc w:val="both"/>
        <w:rPr>
          <w:iCs/>
          <w:sz w:val="28"/>
          <w:szCs w:val="28"/>
        </w:rPr>
      </w:pPr>
      <w:r>
        <w:rPr>
          <w:sz w:val="28"/>
        </w:rPr>
        <w:t>Quyết định số 98/2025/QĐ-UBND của UBND tỉnh được ban hành trên cơ sở Quyết định số 15/2025/QĐ-TTg của Thủ tướng Chính phủ và có hiệu lực từ ngày 01/01/2026. Theo đó, UBND tỉnh đã phân cấp thẩm quyền quyết định đối với một số nội dung về tiêu chuẩn, định mức sử dụng máy móc, thiết bị, gồm: bổ sung số lượng, chủng loại; điều chỉnh mức giá; trang bị máy móc, thiết bị phục vụ hoạt động chung, máy móc, thiết bị gắn với công trình và máy móc, thiết bị chuyên dùng.</w:t>
      </w:r>
    </w:p>
    <w:p w14:paraId="25B41EAF">
      <w:pPr>
        <w:pStyle w:val="16"/>
        <w:spacing w:before="120" w:after="120"/>
        <w:ind w:firstLine="709"/>
        <w:jc w:val="both"/>
        <w:rPr>
          <w:iCs/>
          <w:sz w:val="28"/>
          <w:szCs w:val="28"/>
        </w:rPr>
      </w:pPr>
      <w:r>
        <w:rPr>
          <w:sz w:val="28"/>
        </w:rPr>
        <w:t>Ngày 09/3/2026, Thủ tướng Chính phủ ban hành Quyết định số 10/2026/QĐ-TTg sửa đổi, bổ sung Quyết định số 15/2025/QĐ-TTg, trong đó bổ sung quy định về máy móc, thiết bị đầu cuối cơ bản phục vụ công việc thường xuyên trên môi trường số và máy móc, thiết bị phục vụ công tác bí mật nhà nước trên môi trường số.</w:t>
      </w:r>
    </w:p>
    <w:p w14:paraId="5E51BCF9">
      <w:pPr>
        <w:pStyle w:val="16"/>
        <w:spacing w:before="120" w:after="120"/>
        <w:ind w:firstLine="709"/>
        <w:jc w:val="both"/>
      </w:pPr>
      <w:r>
        <w:rPr>
          <w:sz w:val="28"/>
        </w:rPr>
        <w:t>Trong thực tế, các cơ quan, tổ chức, đơn vị trên địa bàn tỉnh phát sinh nhu cầu trang bị máy móc, thiết bị phục vụ làm việc trên môi trường số và bảo vệ bí mật nhà nước. Tuy nhiên, Quyết định số 98/2025/QĐ-UBND chưa quy định phân cấp thẩm quyền đối với các nội dung mới được bổ sung tại Quyết định số 10/2026/QĐ-TTg, dẫn đến chưa có cơ sở đầy đủ để các cơ quan, đơn vị chủ động quyết định số lượng, mức giá và việc trang bị theo nhu cầu thực tế.</w:t>
      </w:r>
    </w:p>
    <w:p w14:paraId="7D7615FD">
      <w:pPr>
        <w:pStyle w:val="16"/>
        <w:spacing w:before="120" w:after="120"/>
        <w:ind w:firstLine="709"/>
        <w:jc w:val="both"/>
        <w:rPr>
          <w:iCs/>
          <w:sz w:val="28"/>
          <w:szCs w:val="28"/>
        </w:rPr>
      </w:pPr>
      <w:r>
        <w:rPr>
          <w:sz w:val="28"/>
        </w:rPr>
        <w:t>Do đó, việc sửa đổi, bổ sung Quyết định số 98/2025/QĐ-UBND là cần thiết nhằm hoàn thiện cơ chế phân cấp tại địa phương, xác định rõ thẩm quyền, trách nhiệm của các cơ quan, đơn vị và bảo đảm việc trang bị, quản lý, sử dụng máy móc, thiết bị kịp thời, tiết kiệm, hiệu quả, phù hợp với yêu cầu chuyển đổi số và bảo vệ bí mật nhà nước trên môi trường số.</w:t>
      </w:r>
    </w:p>
    <w:p w14:paraId="000A79C6">
      <w:pPr>
        <w:pStyle w:val="12"/>
        <w:spacing w:before="120" w:after="120"/>
        <w:ind w:firstLine="720"/>
        <w:jc w:val="both"/>
      </w:pPr>
      <w:r>
        <w:rPr>
          <w:b/>
          <w:color w:val="000000"/>
          <w:spacing w:val="-6"/>
          <w:shd w:val="clear" w:color="auto" w:fill="FFFFFF"/>
          <w:lang w:val="vi-VN"/>
        </w:rPr>
        <w:t>II. MỤC ĐÍCH BAN HÀNH, QUAN ĐIỂM XÂY DỰNG QUYẾT ĐỊNH</w:t>
      </w:r>
    </w:p>
    <w:p w14:paraId="3FDDD715">
      <w:pPr>
        <w:pStyle w:val="12"/>
        <w:spacing w:before="120" w:after="120"/>
        <w:ind w:firstLine="720"/>
        <w:jc w:val="both"/>
        <w:rPr>
          <w:b/>
          <w:color w:val="000000"/>
          <w:shd w:val="clear" w:color="auto" w:fill="FFFFFF"/>
          <w:lang w:val="vi-VN"/>
        </w:rPr>
      </w:pPr>
      <w:r>
        <w:rPr>
          <w:b/>
          <w:color w:val="000000"/>
          <w:shd w:val="clear" w:color="auto" w:fill="FFFFFF"/>
          <w:lang w:val="vi-VN"/>
        </w:rPr>
        <w:t>1. Mục đích ban hành Quyết định</w:t>
      </w:r>
    </w:p>
    <w:p w14:paraId="30A15B11">
      <w:pPr>
        <w:pStyle w:val="12"/>
        <w:spacing w:before="120" w:after="120"/>
        <w:ind w:firstLine="720"/>
        <w:jc w:val="both"/>
        <w:rPr>
          <w:bCs/>
          <w:iCs/>
        </w:rPr>
      </w:pPr>
      <w:r>
        <w:t>Cụ thể hóa và tổ chức thực hiện các nội dung được sửa đổi, bổ sung tại Quyết định số 10/2026/QĐ-TTg ngày 09/3/2026 của Thủ tướng Chính phủ; đồng thời hoàn thiện quy định phân cấp thẩm quyền quyết định tiêu chuẩn, định mức sử dụng máy móc, thiết bị trên địa bàn tỉnh, bảo đảm thống nhất, đồng bộ và thuận lợi trong tổ chức thực hiện.</w:t>
      </w:r>
    </w:p>
    <w:p w14:paraId="5AE29B40">
      <w:pPr>
        <w:pStyle w:val="12"/>
        <w:spacing w:before="120" w:after="120"/>
        <w:ind w:firstLine="720"/>
        <w:jc w:val="both"/>
        <w:rPr>
          <w:b/>
          <w:color w:val="000000"/>
          <w:shd w:val="clear" w:color="auto" w:fill="FFFFFF"/>
        </w:rPr>
      </w:pPr>
      <w:r>
        <w:rPr>
          <w:b/>
          <w:color w:val="000000"/>
          <w:shd w:val="clear" w:color="auto" w:fill="FFFFFF"/>
        </w:rPr>
        <w:t>2. Quan điểm xây dựng dự thảo Quyết định</w:t>
      </w:r>
    </w:p>
    <w:p w14:paraId="6795CC33">
      <w:pPr>
        <w:numPr>
          <w:ilvl w:val="0"/>
          <w:numId w:val="3"/>
        </w:numPr>
        <w:tabs>
          <w:tab w:val="left" w:pos="851"/>
        </w:tabs>
        <w:spacing w:before="120" w:after="120"/>
        <w:ind w:left="0" w:firstLine="709"/>
        <w:jc w:val="both"/>
        <w:rPr>
          <w:bCs/>
          <w:iCs/>
          <w:sz w:val="28"/>
          <w:szCs w:val="28"/>
        </w:rPr>
      </w:pPr>
      <w:r>
        <w:rPr>
          <w:sz w:val="28"/>
        </w:rPr>
        <w:t>Bảo đảm phù hợp, thống nhất với Quyết định số 10/2026/QĐ-TTg và các quy định pháp luật có liên quan.</w:t>
      </w:r>
    </w:p>
    <w:p w14:paraId="274BEEED">
      <w:pPr>
        <w:numPr>
          <w:ilvl w:val="0"/>
          <w:numId w:val="3"/>
        </w:numPr>
        <w:tabs>
          <w:tab w:val="left" w:pos="851"/>
        </w:tabs>
        <w:spacing w:before="120" w:after="120"/>
        <w:ind w:left="0" w:firstLine="709"/>
        <w:jc w:val="both"/>
        <w:rPr>
          <w:bCs/>
          <w:iCs/>
          <w:sz w:val="28"/>
          <w:szCs w:val="28"/>
        </w:rPr>
      </w:pPr>
      <w:r>
        <w:rPr>
          <w:sz w:val="28"/>
        </w:rPr>
        <w:t>Kế thừa các nội dung phân cấp đang thực hiện phù hợp tại Quyết định số 98/2025/QĐ-UBND; đồng thời bổ sung, hoàn thiện các nội dung cần thiết, đáp ứng yêu cầu quản lý, sử dụng máy móc, thiết bị trong thực tiễn.</w:t>
      </w:r>
    </w:p>
    <w:p w14:paraId="2025307B">
      <w:pPr>
        <w:pStyle w:val="12"/>
        <w:spacing w:before="120" w:after="120"/>
        <w:jc w:val="both"/>
      </w:pPr>
      <w:r>
        <w:rPr>
          <w:b/>
          <w:color w:val="000000"/>
          <w:shd w:val="clear" w:color="auto" w:fill="FFFFFF"/>
        </w:rPr>
        <w:tab/>
      </w:r>
      <w:r>
        <w:rPr>
          <w:b/>
          <w:color w:val="000000"/>
          <w:shd w:val="clear" w:color="auto" w:fill="FFFFFF"/>
        </w:rPr>
        <w:t>III. QUÁ TRÌNH XÂY DỰNG DỰ THẢO QUYẾT ĐỊNH</w:t>
      </w:r>
    </w:p>
    <w:p w14:paraId="7A157C3E">
      <w:pPr>
        <w:pStyle w:val="16"/>
        <w:numPr>
          <w:ilvl w:val="0"/>
          <w:numId w:val="4"/>
        </w:numPr>
        <w:tabs>
          <w:tab w:val="left" w:pos="993"/>
        </w:tabs>
        <w:spacing w:before="120" w:after="120"/>
        <w:ind w:left="0" w:firstLine="709"/>
        <w:jc w:val="both"/>
        <w:rPr>
          <w:sz w:val="28"/>
          <w:szCs w:val="28"/>
        </w:rPr>
      </w:pPr>
      <w:r>
        <w:rPr>
          <w:sz w:val="28"/>
        </w:rPr>
        <w:t>Căn cứ Luật Ban hành văn bản quy phạm pháp luật và Quyết định số 10/2026/QĐ-TTg ngày 09/3/2026 của Thủ tướng Chính phủ, Sở Tài chính đã báo cáo, đề xuất UBND tỉnh cho chủ trương xây dựng Quyết định sửa đổi, bổ sung một số điều của Quyết định số 98/2025/QĐ-UBND ngày 22/12/2025. Ngày 07/9/2026, UBND tỉnh ban hành Văn bản số 8965/UBND-TH</w:t>
      </w:r>
      <w:r>
        <w:rPr>
          <w:sz w:val="28"/>
          <w:vertAlign w:val="subscript"/>
        </w:rPr>
        <w:t>5</w:t>
      </w:r>
      <w:r>
        <w:rPr>
          <w:sz w:val="28"/>
        </w:rPr>
        <w:t xml:space="preserve"> đồng ý chủ trương xây dựng Quyết định.</w:t>
      </w:r>
    </w:p>
    <w:p w14:paraId="0E36C3CA">
      <w:pPr>
        <w:pStyle w:val="16"/>
        <w:numPr>
          <w:ilvl w:val="0"/>
          <w:numId w:val="4"/>
        </w:numPr>
        <w:tabs>
          <w:tab w:val="left" w:pos="993"/>
        </w:tabs>
        <w:spacing w:before="120" w:after="120"/>
        <w:ind w:left="0" w:firstLine="709"/>
        <w:jc w:val="both"/>
        <w:rPr>
          <w:sz w:val="28"/>
          <w:szCs w:val="28"/>
        </w:rPr>
      </w:pPr>
      <w:r>
        <w:rPr>
          <w:sz w:val="28"/>
        </w:rPr>
        <w:t>Thực hiện Văn bản số 8965/UBND-TH5 ngày 07/9/2026 của UBND tỉnh, Sở Tài chính đã xây dựng dự thảo Quyết định; đồng thời ban hành Công văn số 6974/STC-GCS ngày 22/9/2026 gửi các cơ quan, đơn vị, địa phương đề nghị tham gia ý kiến và Công văn số 6975/STC-GCS ngày 22/9/2026 đề nghị đăng tải toàn văn dự thảo Tờ trình, dự thảo Quyết định cùng các tài liệu có liên quan trên Cổng thông tin điện tử của tỉnh để lấy ý kiến theo quy định.</w:t>
      </w:r>
    </w:p>
    <w:p w14:paraId="3E90D240">
      <w:pPr>
        <w:pStyle w:val="16"/>
        <w:numPr>
          <w:ilvl w:val="0"/>
          <w:numId w:val="4"/>
        </w:numPr>
        <w:tabs>
          <w:tab w:val="left" w:pos="993"/>
        </w:tabs>
        <w:spacing w:before="120" w:after="120"/>
        <w:ind w:left="0" w:firstLine="709"/>
        <w:jc w:val="both"/>
        <w:rPr>
          <w:sz w:val="28"/>
          <w:szCs w:val="28"/>
        </w:rPr>
      </w:pPr>
      <w:r>
        <w:rPr>
          <w:sz w:val="28"/>
        </w:rPr>
        <w:t>Sở Tài chính đã tổng hợp, nghiên cứu, tiếp thu ý kiến của các cơ quan, đơn vị, địa phương; trong đó có ý kiến của Sở Tư pháp tại Công văn số …/STP-XDPL ngày …/…/2026, Sở Nội vụ tại Công văn số …/SNV-XDCQ&amp;TCBC ngày …/…/2026, Sở Khoa học và Công nghệ tại Công văn số …/SKHCN-… ngày …/…/2026 và các cơ quan, đơn vị có liên quan; trên cơ sở đó hoàn thiện dự thảo Quyết định.</w:t>
      </w:r>
    </w:p>
    <w:p w14:paraId="3E3AF5E3">
      <w:pPr>
        <w:pStyle w:val="16"/>
        <w:numPr>
          <w:ilvl w:val="0"/>
          <w:numId w:val="4"/>
        </w:numPr>
        <w:tabs>
          <w:tab w:val="left" w:pos="993"/>
        </w:tabs>
        <w:spacing w:before="120" w:after="120"/>
        <w:ind w:left="0" w:firstLine="709"/>
        <w:jc w:val="both"/>
        <w:rPr>
          <w:sz w:val="28"/>
          <w:szCs w:val="28"/>
        </w:rPr>
      </w:pPr>
      <w:r>
        <w:rPr>
          <w:sz w:val="28"/>
        </w:rPr>
        <w:t>Sau khi tổng hợp, tiếp thu ý kiến, Sở Tài chính có Văn bản số …/STC-GCS ngày …/…/2026 gửi Sở Tư pháp đề nghị thẩm định dự thảo Quyết định sửa đổi, bổ sung một số điều của Quyết định số 98/2025/QĐ-UBND ngày 22/12/2025 của UBND tỉnh.</w:t>
      </w:r>
    </w:p>
    <w:p w14:paraId="1F8A037C">
      <w:pPr>
        <w:pStyle w:val="16"/>
        <w:numPr>
          <w:ilvl w:val="0"/>
          <w:numId w:val="4"/>
        </w:numPr>
        <w:tabs>
          <w:tab w:val="left" w:pos="993"/>
        </w:tabs>
        <w:spacing w:before="120" w:after="120"/>
        <w:ind w:left="0" w:firstLine="709"/>
        <w:jc w:val="both"/>
        <w:rPr>
          <w:sz w:val="28"/>
          <w:szCs w:val="28"/>
        </w:rPr>
      </w:pPr>
      <w:r>
        <w:rPr>
          <w:sz w:val="28"/>
        </w:rPr>
        <w:t>Sở Tư pháp đã có Báo cáo thẩm định số …/BC-STP ngày …/…/2026 đối với dự thảo Quyết định. Trên cơ sở ý kiến thẩm định, Sở Tài chính đã nghiên cứu, tiếp thu, giải trình và hoàn thiện hồ sơ dự thảo Quyết định để trình UBND tỉnh xem xét, ban hành.</w:t>
      </w:r>
    </w:p>
    <w:p w14:paraId="73970C32">
      <w:pPr>
        <w:pStyle w:val="16"/>
        <w:numPr>
          <w:ilvl w:val="0"/>
          <w:numId w:val="4"/>
        </w:numPr>
        <w:tabs>
          <w:tab w:val="left" w:pos="993"/>
        </w:tabs>
        <w:spacing w:before="120" w:after="120"/>
        <w:ind w:left="0" w:firstLine="709"/>
        <w:jc w:val="both"/>
        <w:rPr>
          <w:sz w:val="28"/>
          <w:szCs w:val="28"/>
        </w:rPr>
      </w:pPr>
      <w:r>
        <w:rPr>
          <w:sz w:val="28"/>
        </w:rPr>
        <w:t>Trình tự, thủ tục xây dựng dự thảo Quyết định được thực hiện theo quy định của pháp luật về ban hành văn bản quy phạm pháp luật, bảo đảm đủ điều kiện trình UBND tỉnh xem xét, ban hành.</w:t>
      </w:r>
    </w:p>
    <w:p w14:paraId="45ACC15C">
      <w:pPr>
        <w:widowControl w:val="0"/>
        <w:spacing w:before="120" w:after="120"/>
        <w:ind w:firstLine="709"/>
        <w:jc w:val="both"/>
        <w:outlineLvl w:val="0"/>
        <w:rPr>
          <w:rFonts w:eastAsia="Calibri"/>
          <w:b/>
          <w:spacing w:val="-4"/>
          <w:sz w:val="28"/>
          <w:szCs w:val="28"/>
          <w:lang w:val="nl-NL"/>
        </w:rPr>
      </w:pPr>
      <w:r>
        <w:rPr>
          <w:rFonts w:eastAsia="Calibri"/>
          <w:b/>
          <w:spacing w:val="-4"/>
          <w:sz w:val="28"/>
          <w:szCs w:val="28"/>
          <w:lang w:val="nl-NL"/>
        </w:rPr>
        <w:t xml:space="preserve">IV. </w:t>
      </w:r>
      <w:r>
        <w:rPr>
          <w:b/>
          <w:sz w:val="28"/>
          <w:szCs w:val="28"/>
        </w:rPr>
        <w:t>BỐ CỤC VÀ NỘI DUNG CƠ BẢN DỰ THẢO QUYẾT ĐỊNH</w:t>
      </w:r>
    </w:p>
    <w:p w14:paraId="20F8994B">
      <w:pPr>
        <w:widowControl w:val="0"/>
        <w:numPr>
          <w:ilvl w:val="0"/>
          <w:numId w:val="5"/>
        </w:numPr>
        <w:tabs>
          <w:tab w:val="left" w:pos="993"/>
        </w:tabs>
        <w:spacing w:before="120" w:after="120"/>
        <w:ind w:left="0" w:firstLine="709"/>
        <w:jc w:val="both"/>
        <w:rPr>
          <w:rFonts w:eastAsia="Calibri"/>
          <w:b/>
          <w:bCs/>
          <w:spacing w:val="-4"/>
          <w:sz w:val="28"/>
          <w:szCs w:val="28"/>
          <w:lang w:val="nl-NL"/>
        </w:rPr>
      </w:pPr>
      <w:r>
        <w:rPr>
          <w:b/>
          <w:sz w:val="28"/>
        </w:rPr>
        <w:t>Phạm vi điều chỉnh, đối tượng áp dụng</w:t>
      </w:r>
    </w:p>
    <w:p w14:paraId="21280D56">
      <w:pPr>
        <w:widowControl w:val="0"/>
        <w:spacing w:before="120" w:after="120"/>
        <w:ind w:firstLine="709"/>
        <w:jc w:val="both"/>
        <w:rPr>
          <w:rFonts w:eastAsia="Calibri"/>
          <w:b/>
          <w:bCs/>
          <w:spacing w:val="-4"/>
          <w:sz w:val="28"/>
          <w:szCs w:val="28"/>
          <w:lang w:val="nl-NL"/>
        </w:rPr>
      </w:pPr>
      <w:bookmarkStart w:id="0" w:name="_Hlk183531943"/>
      <w:r>
        <w:rPr>
          <w:rFonts w:eastAsia="Calibri"/>
          <w:b/>
          <w:bCs/>
          <w:spacing w:val="-4"/>
          <w:sz w:val="28"/>
          <w:szCs w:val="28"/>
          <w:lang w:val="nl-NL"/>
        </w:rPr>
        <w:t>a) Phạm vi điều chỉnh:</w:t>
      </w:r>
      <w:bookmarkEnd w:id="0"/>
      <w:r>
        <w:rPr>
          <w:rFonts w:eastAsia="Calibri"/>
          <w:b/>
          <w:bCs/>
          <w:spacing w:val="-4"/>
          <w:sz w:val="28"/>
          <w:szCs w:val="28"/>
          <w:lang w:val="nl-NL"/>
        </w:rPr>
        <w:t xml:space="preserve"> </w:t>
      </w:r>
      <w:r>
        <w:rPr>
          <w:bCs/>
          <w:sz w:val="28"/>
          <w:szCs w:val="28"/>
        </w:rPr>
        <w:t>Sửa đổi, bổ sung</w:t>
      </w:r>
      <w:r>
        <w:rPr>
          <w:bCs/>
          <w:color w:val="EE0000"/>
          <w:sz w:val="28"/>
          <w:szCs w:val="28"/>
        </w:rPr>
        <w:t xml:space="preserve"> </w:t>
      </w:r>
      <w:r>
        <w:rPr>
          <w:bCs/>
          <w:sz w:val="28"/>
          <w:szCs w:val="28"/>
        </w:rPr>
        <w:t xml:space="preserve">một số điều của Quyết định số 98/2025/QĐ-UBND ngày 22 tháng 12 năm 2025 của UBND tỉnh phân cấp thẩm quyền quyết định tiêu chuẩn, định mức sử dụng máy móc, thiết bị </w:t>
      </w:r>
      <w:r>
        <w:rPr>
          <w:bCs/>
          <w:sz w:val="28"/>
          <w:szCs w:val="28"/>
          <w:lang w:val="vi-VN"/>
        </w:rPr>
        <w:t xml:space="preserve">đối với </w:t>
      </w:r>
      <w:r>
        <w:rPr>
          <w:bCs/>
          <w:sz w:val="28"/>
          <w:szCs w:val="28"/>
        </w:rPr>
        <w:t xml:space="preserve">các cơ quan, tổ chức, đơn vị thuộc phạm vi quản lý của tỉnh </w:t>
      </w:r>
      <w:r>
        <w:rPr>
          <w:bCs/>
          <w:sz w:val="28"/>
          <w:szCs w:val="28"/>
          <w:lang w:val="vi-VN"/>
        </w:rPr>
        <w:t>Hà Tĩnh.</w:t>
      </w:r>
    </w:p>
    <w:p w14:paraId="16BDE76B">
      <w:pPr>
        <w:spacing w:before="120" w:after="120"/>
        <w:ind w:firstLine="720"/>
        <w:jc w:val="both"/>
        <w:rPr>
          <w:b/>
          <w:bCs/>
          <w:sz w:val="28"/>
          <w:szCs w:val="28"/>
          <w:lang w:val="vi-VN"/>
        </w:rPr>
      </w:pPr>
      <w:r>
        <w:rPr>
          <w:b/>
          <w:sz w:val="28"/>
        </w:rPr>
        <w:t xml:space="preserve">b) Đối tượng áp dụng: </w:t>
      </w:r>
      <w:r>
        <w:rPr>
          <w:sz w:val="28"/>
        </w:rPr>
        <w:t>Cơ quan nhà nước, đơn vị sự nghiệp công lập</w:t>
      </w:r>
      <w:r>
        <w:rPr>
          <w:sz w:val="28"/>
          <w:lang w:val="vi-VN"/>
        </w:rPr>
        <w:t xml:space="preserve"> (bao gồm </w:t>
      </w:r>
      <w:r>
        <w:rPr>
          <w:sz w:val="28"/>
        </w:rPr>
        <w:t>ban quản lý dự án sử dụng vốn nhà nước là đơn vị sự nghiệp công lập</w:t>
      </w:r>
      <w:r>
        <w:rPr>
          <w:sz w:val="28"/>
          <w:lang w:val="vi-VN"/>
        </w:rPr>
        <w:t>)</w:t>
      </w:r>
      <w:r>
        <w:rPr>
          <w:sz w:val="28"/>
        </w:rPr>
        <w:t xml:space="preserve"> thuộc phạm vi quản lý của Ủy ban nhân dân tỉnh (sau đây gọi là cơ quan, tổ chức, đơn vị)</w:t>
      </w:r>
      <w:r>
        <w:rPr>
          <w:sz w:val="28"/>
          <w:lang w:val="vi-VN"/>
        </w:rPr>
        <w:t>.</w:t>
      </w:r>
    </w:p>
    <w:p w14:paraId="08CFFE82">
      <w:pPr>
        <w:widowControl w:val="0"/>
        <w:spacing w:before="120" w:after="120"/>
        <w:ind w:firstLine="709"/>
        <w:jc w:val="both"/>
      </w:pPr>
      <w:r>
        <w:rPr>
          <w:b/>
          <w:sz w:val="28"/>
        </w:rPr>
        <w:t>2. Bố cục của dự thảo Quyết định</w:t>
      </w:r>
    </w:p>
    <w:p w14:paraId="63C90817">
      <w:pPr>
        <w:widowControl w:val="0"/>
        <w:spacing w:before="120" w:after="120"/>
        <w:ind w:firstLine="709"/>
        <w:jc w:val="both"/>
        <w:rPr>
          <w:sz w:val="28"/>
        </w:rPr>
      </w:pPr>
      <w:r>
        <w:rPr>
          <w:sz w:val="28"/>
        </w:rPr>
        <w:t xml:space="preserve">Dự thảo Quyết định gồm 04 điều: </w:t>
      </w:r>
    </w:p>
    <w:p w14:paraId="30C87F65">
      <w:pPr>
        <w:pStyle w:val="12"/>
        <w:spacing w:before="120" w:after="120"/>
        <w:ind w:firstLine="720"/>
        <w:jc w:val="both"/>
      </w:pPr>
      <w:r>
        <w:rPr>
          <w:bCs/>
        </w:rPr>
        <w:t>Điều 1: Sửa đổi, bổ sung</w:t>
      </w:r>
      <w:r>
        <w:rPr>
          <w:bCs/>
          <w:color w:val="EE0000"/>
        </w:rPr>
        <w:t xml:space="preserve"> </w:t>
      </w:r>
      <w:r>
        <w:rPr>
          <w:bCs/>
        </w:rPr>
        <w:t xml:space="preserve">một số điều của Quyết định số 98/2025/QĐ-UBND ngày 22 tháng 12 năm 2025 của UBND tỉnh phân cấp thẩm quyền quyết định tiêu chuẩn, định mức sử dụng máy móc, thiết bị </w:t>
      </w:r>
      <w:r>
        <w:rPr>
          <w:bCs/>
          <w:lang w:val="vi-VN"/>
        </w:rPr>
        <w:t xml:space="preserve">đối với </w:t>
      </w:r>
      <w:r>
        <w:rPr>
          <w:bCs/>
        </w:rPr>
        <w:t xml:space="preserve">các cơ quan, tổ chức, đơn vị thuộc phạm vi quản lý của tỉnh </w:t>
      </w:r>
      <w:r>
        <w:rPr>
          <w:bCs/>
          <w:lang w:val="vi-VN"/>
        </w:rPr>
        <w:t>Hà Tĩnh.</w:t>
      </w:r>
    </w:p>
    <w:p w14:paraId="4230CFDB">
      <w:pPr>
        <w:spacing w:before="120" w:after="120"/>
        <w:ind w:firstLine="720"/>
        <w:jc w:val="both"/>
      </w:pPr>
      <w:r>
        <w:rPr>
          <w:bCs/>
          <w:sz w:val="28"/>
          <w:szCs w:val="28"/>
        </w:rPr>
        <w:t xml:space="preserve">Điều 2. </w:t>
      </w:r>
      <w:r>
        <w:rPr>
          <w:bCs/>
          <w:sz w:val="28"/>
          <w:szCs w:val="28"/>
          <w:lang w:val="vi-VN"/>
        </w:rPr>
        <w:t>Thay</w:t>
      </w:r>
      <w:r>
        <w:rPr>
          <w:bCs/>
          <w:sz w:val="28"/>
          <w:szCs w:val="28"/>
        </w:rPr>
        <w:t xml:space="preserve"> thế một số </w:t>
      </w:r>
      <w:r>
        <w:rPr>
          <w:bCs/>
          <w:sz w:val="28"/>
          <w:szCs w:val="28"/>
          <w:lang w:val="vi-VN"/>
        </w:rPr>
        <w:t>cụm từ</w:t>
      </w:r>
      <w:r>
        <w:rPr>
          <w:bCs/>
          <w:sz w:val="28"/>
          <w:szCs w:val="28"/>
        </w:rPr>
        <w:t xml:space="preserve"> của Quyết định số </w:t>
      </w:r>
      <w:r>
        <w:rPr>
          <w:bCs/>
          <w:sz w:val="28"/>
          <w:szCs w:val="28"/>
          <w:lang w:val="vi-VN"/>
        </w:rPr>
        <w:t>98</w:t>
      </w:r>
      <w:r>
        <w:rPr>
          <w:bCs/>
          <w:sz w:val="28"/>
          <w:szCs w:val="28"/>
        </w:rPr>
        <w:t xml:space="preserve">/2025/QĐ-UBND ngày </w:t>
      </w:r>
      <w:r>
        <w:rPr>
          <w:bCs/>
          <w:sz w:val="28"/>
          <w:szCs w:val="28"/>
          <w:lang w:val="vi-VN"/>
        </w:rPr>
        <w:t xml:space="preserve">22 </w:t>
      </w:r>
      <w:r>
        <w:rPr>
          <w:bCs/>
          <w:sz w:val="28"/>
          <w:szCs w:val="28"/>
        </w:rPr>
        <w:t xml:space="preserve">tháng 12 năm 2025 của UBND tỉnh </w:t>
      </w:r>
      <w:r>
        <w:rPr>
          <w:bCs/>
          <w:sz w:val="28"/>
          <w:szCs w:val="28"/>
          <w:lang w:val="vi-VN"/>
        </w:rPr>
        <w:t xml:space="preserve">Hà Tĩnh </w:t>
      </w:r>
    </w:p>
    <w:p w14:paraId="076FB38C">
      <w:pPr>
        <w:spacing w:before="120" w:after="120"/>
        <w:ind w:firstLine="720"/>
        <w:rPr>
          <w:sz w:val="28"/>
          <w:szCs w:val="28"/>
        </w:rPr>
      </w:pPr>
      <w:r>
        <w:rPr>
          <w:bCs/>
          <w:sz w:val="28"/>
          <w:szCs w:val="28"/>
        </w:rPr>
        <w:t>Điều 3. Điều khoản thi hành</w:t>
      </w:r>
    </w:p>
    <w:p w14:paraId="67DF34FC">
      <w:pPr>
        <w:spacing w:before="120" w:after="120"/>
        <w:ind w:firstLine="720"/>
        <w:jc w:val="both"/>
        <w:rPr>
          <w:sz w:val="28"/>
          <w:szCs w:val="28"/>
        </w:rPr>
      </w:pPr>
      <w:r>
        <w:rPr>
          <w:bCs/>
          <w:sz w:val="28"/>
          <w:szCs w:val="28"/>
        </w:rPr>
        <w:t>Điều 4. Tổ chức thực hiện</w:t>
      </w:r>
    </w:p>
    <w:p w14:paraId="53EA6E5D">
      <w:pPr>
        <w:widowControl w:val="0"/>
        <w:spacing w:before="120" w:after="120"/>
        <w:ind w:firstLine="709"/>
        <w:jc w:val="both"/>
      </w:pPr>
      <w:r>
        <w:rPr>
          <w:b/>
          <w:sz w:val="28"/>
        </w:rPr>
        <w:t>3. Nội dung cơ bản của dự thảo Quyết định</w:t>
      </w:r>
    </w:p>
    <w:p w14:paraId="187FD5E2">
      <w:pPr>
        <w:pStyle w:val="12"/>
        <w:spacing w:before="120" w:after="120"/>
        <w:ind w:firstLine="720"/>
        <w:jc w:val="both"/>
      </w:pPr>
      <w:r>
        <w:rPr>
          <w:b/>
          <w:bCs/>
        </w:rPr>
        <w:t>Điều 1. Sửa đổi, bổ sung</w:t>
      </w:r>
      <w:r>
        <w:rPr>
          <w:b/>
          <w:bCs/>
          <w:color w:val="EE0000"/>
        </w:rPr>
        <w:t xml:space="preserve"> </w:t>
      </w:r>
      <w:r>
        <w:rPr>
          <w:b/>
          <w:bCs/>
        </w:rPr>
        <w:t xml:space="preserve">một số điều của Quyết định số 98/2025/QĐ-UBND ngày 22 tháng 12 năm 2025 của UBND tỉnh phân cấp thẩm quyền quyết định tiêu chuẩn, định mức sử dụng máy móc, thiết bị </w:t>
      </w:r>
      <w:r>
        <w:rPr>
          <w:b/>
          <w:bCs/>
          <w:lang w:val="vi-VN"/>
        </w:rPr>
        <w:t xml:space="preserve">đối với </w:t>
      </w:r>
      <w:r>
        <w:rPr>
          <w:b/>
          <w:bCs/>
        </w:rPr>
        <w:t xml:space="preserve">các cơ quan, tổ chức, đơn vị thuộc phạm vi quản lý của tỉnh </w:t>
      </w:r>
      <w:r>
        <w:rPr>
          <w:b/>
          <w:bCs/>
          <w:lang w:val="vi-VN"/>
        </w:rPr>
        <w:t>Hà Tĩnh.</w:t>
      </w:r>
    </w:p>
    <w:p w14:paraId="67C592BD">
      <w:pPr>
        <w:spacing w:before="120" w:after="120"/>
        <w:ind w:firstLine="720"/>
        <w:jc w:val="both"/>
      </w:pPr>
      <w:r>
        <w:rPr>
          <w:sz w:val="28"/>
          <w:szCs w:val="28"/>
        </w:rPr>
        <w:t xml:space="preserve">1. </w:t>
      </w:r>
      <w:r>
        <w:rPr>
          <w:sz w:val="28"/>
          <w:szCs w:val="28"/>
          <w:lang w:val="vi-VN"/>
        </w:rPr>
        <w:t xml:space="preserve">Bổ sung điểm đ, điểm e vào sau điểm d khoản 1 Điều 1 như sau: </w:t>
      </w:r>
    </w:p>
    <w:p w14:paraId="4FB68BC2">
      <w:pPr>
        <w:spacing w:before="120" w:after="120"/>
        <w:ind w:firstLine="720"/>
        <w:jc w:val="both"/>
      </w:pPr>
      <w:r>
        <w:rPr>
          <w:sz w:val="28"/>
          <w:szCs w:val="28"/>
        </w:rPr>
        <w:t xml:space="preserve"> “</w:t>
      </w:r>
      <w:r>
        <w:rPr>
          <w:sz w:val="28"/>
          <w:szCs w:val="28"/>
          <w:lang w:val="vi-VN"/>
        </w:rPr>
        <w:t>đ</w:t>
      </w:r>
      <w:r>
        <w:rPr>
          <w:sz w:val="28"/>
          <w:szCs w:val="28"/>
        </w:rPr>
        <w:t xml:space="preserve">) </w:t>
      </w:r>
      <w:r>
        <w:rPr>
          <w:sz w:val="28"/>
          <w:szCs w:val="28"/>
          <w:lang w:val="vi-VN"/>
        </w:rPr>
        <w:t xml:space="preserve">Thẩm quyền quyết định tiêu chuẩn, định mức sử dụng </w:t>
      </w:r>
      <w:r>
        <w:rPr>
          <w:sz w:val="28"/>
          <w:szCs w:val="28"/>
        </w:rPr>
        <w:t>máy móc, thiết bị đầu cuối cơ bản phục vụ công việc thường xuyên trên môi trường số quy định tại Mục C Phụ lục</w:t>
      </w:r>
      <w:r>
        <w:rPr>
          <w:sz w:val="28"/>
          <w:szCs w:val="28"/>
          <w:lang w:val="vi-VN"/>
        </w:rPr>
        <w:t xml:space="preserve"> </w:t>
      </w:r>
      <w:r>
        <w:rPr>
          <w:sz w:val="28"/>
          <w:szCs w:val="28"/>
        </w:rPr>
        <w:t xml:space="preserve">ban hành kèm theo Quyết định số 10/2026/QĐ-TTg </w:t>
      </w:r>
      <w:r>
        <w:rPr>
          <w:sz w:val="28"/>
          <w:szCs w:val="28"/>
          <w:lang w:val="vi-VN"/>
        </w:rPr>
        <w:t>theo quy định tại khoản 4 Điều 3 Quyết định số 15/2025/QĐ-TTg, được sửa đổi, bổ sung bởi Quyết định số 10/2026/QĐ-TTg</w:t>
      </w:r>
      <w:r>
        <w:rPr>
          <w:sz w:val="28"/>
          <w:szCs w:val="28"/>
        </w:rPr>
        <w:t>;</w:t>
      </w:r>
    </w:p>
    <w:p w14:paraId="53BCE567">
      <w:pPr>
        <w:spacing w:before="120" w:after="120"/>
        <w:ind w:firstLine="720"/>
        <w:jc w:val="both"/>
      </w:pPr>
      <w:r>
        <w:rPr>
          <w:sz w:val="28"/>
          <w:szCs w:val="28"/>
          <w:lang w:val="vi-VN"/>
        </w:rPr>
        <w:t>e</w:t>
      </w:r>
      <w:r>
        <w:rPr>
          <w:sz w:val="28"/>
          <w:szCs w:val="28"/>
        </w:rPr>
        <w:t xml:space="preserve">) </w:t>
      </w:r>
      <w:r>
        <w:rPr>
          <w:sz w:val="28"/>
          <w:szCs w:val="28"/>
          <w:lang w:val="vi-VN"/>
        </w:rPr>
        <w:t xml:space="preserve">Thẩm quyền quyết định tiêu chuẩn, định mức sử dụng </w:t>
      </w:r>
      <w:r>
        <w:rPr>
          <w:sz w:val="28"/>
          <w:szCs w:val="28"/>
        </w:rPr>
        <w:t xml:space="preserve">máy móc, thiết bị phục vụ công tác bí mật nhà nước </w:t>
      </w:r>
      <w:r>
        <w:rPr>
          <w:sz w:val="28"/>
          <w:szCs w:val="28"/>
          <w:lang w:val="vi-VN"/>
        </w:rPr>
        <w:t xml:space="preserve">trên môi trường số </w:t>
      </w:r>
      <w:r>
        <w:rPr>
          <w:sz w:val="28"/>
          <w:szCs w:val="28"/>
        </w:rPr>
        <w:t>quy định tại Mục D Phụ lục</w:t>
      </w:r>
      <w:r>
        <w:rPr>
          <w:sz w:val="28"/>
          <w:szCs w:val="28"/>
          <w:lang w:val="vi-VN"/>
        </w:rPr>
        <w:t xml:space="preserve"> </w:t>
      </w:r>
      <w:r>
        <w:rPr>
          <w:sz w:val="28"/>
          <w:szCs w:val="28"/>
        </w:rPr>
        <w:t>ban hành kèm theo Quyết định số 10/2026/QĐ-TTg</w:t>
      </w:r>
      <w:r>
        <w:rPr>
          <w:sz w:val="28"/>
          <w:szCs w:val="28"/>
          <w:lang w:val="vi-VN"/>
        </w:rPr>
        <w:t xml:space="preserve"> theo quy định tại khoản 1, khoản 2, khoản 3 Điều 5a Quyết định số 15/2025/QĐ-TTg, được sửa đổi, bổ sung bởi Quyết định số 10/2026/QĐ-TTg.</w:t>
      </w:r>
      <w:r>
        <w:rPr>
          <w:sz w:val="28"/>
          <w:szCs w:val="28"/>
        </w:rPr>
        <w:t xml:space="preserve">” </w:t>
      </w:r>
    </w:p>
    <w:p w14:paraId="444AD266">
      <w:pPr>
        <w:spacing w:before="120" w:after="120"/>
        <w:ind w:firstLine="720"/>
        <w:jc w:val="both"/>
      </w:pPr>
      <w:bookmarkStart w:id="1" w:name="khoan_3_1"/>
      <w:r>
        <w:rPr>
          <w:sz w:val="28"/>
          <w:szCs w:val="28"/>
        </w:rPr>
        <w:t xml:space="preserve">2. </w:t>
      </w:r>
      <w:r>
        <w:rPr>
          <w:sz w:val="28"/>
          <w:szCs w:val="28"/>
          <w:lang w:val="vi-VN"/>
        </w:rPr>
        <w:t xml:space="preserve">Sửa đổi, bổ sung khoản 1 </w:t>
      </w:r>
      <w:r>
        <w:rPr>
          <w:sz w:val="28"/>
          <w:szCs w:val="28"/>
        </w:rPr>
        <w:t>Điều 2</w:t>
      </w:r>
      <w:r>
        <w:rPr>
          <w:sz w:val="28"/>
          <w:szCs w:val="28"/>
          <w:lang w:val="vi-VN"/>
        </w:rPr>
        <w:t xml:space="preserve"> như sau:</w:t>
      </w:r>
      <w:bookmarkEnd w:id="1"/>
    </w:p>
    <w:p w14:paraId="5C8ACDBF">
      <w:pPr>
        <w:pStyle w:val="16"/>
        <w:shd w:val="clear" w:color="auto" w:fill="FFFFFF"/>
        <w:spacing w:before="120" w:after="120"/>
        <w:ind w:firstLine="709"/>
      </w:pPr>
      <w:r>
        <w:rPr>
          <w:b/>
          <w:bCs/>
          <w:sz w:val="28"/>
          <w:szCs w:val="28"/>
        </w:rPr>
        <w:t>“</w:t>
      </w:r>
      <w:r>
        <w:rPr>
          <w:sz w:val="28"/>
          <w:szCs w:val="28"/>
        </w:rPr>
        <w:t xml:space="preserve">1. </w:t>
      </w:r>
      <w:r>
        <w:rPr>
          <w:sz w:val="28"/>
          <w:szCs w:val="28"/>
          <w:lang w:val="vi-VN"/>
        </w:rPr>
        <w:t>Cơ quan nhà nước, đơn vị sự nghiệp công lập, ban quản lý dự án sử dụng vốn nhà nước là đơn vị sự nghiệp công lập (sau đây gọi là cơ quan, tổ chức, đơn vị) thuộc phạm vi quản lý của Ủy ban nhân dân tỉnh”.</w:t>
      </w:r>
    </w:p>
    <w:p w14:paraId="25A8AADC">
      <w:pPr>
        <w:spacing w:before="120" w:after="120"/>
        <w:ind w:firstLine="720"/>
        <w:jc w:val="both"/>
        <w:rPr>
          <w:sz w:val="28"/>
          <w:szCs w:val="28"/>
        </w:rPr>
      </w:pPr>
      <w:r>
        <w:rPr>
          <w:sz w:val="28"/>
          <w:szCs w:val="28"/>
        </w:rPr>
        <w:t>3. Bổ sung Điều 4a, Điều 4b vào sau Điều 4 như sau:</w:t>
      </w:r>
    </w:p>
    <w:p w14:paraId="12FE9D8A">
      <w:pPr>
        <w:spacing w:before="120" w:after="120"/>
        <w:ind w:firstLine="720"/>
        <w:jc w:val="both"/>
        <w:rPr>
          <w:b/>
          <w:bCs/>
          <w:sz w:val="28"/>
          <w:szCs w:val="28"/>
        </w:rPr>
      </w:pPr>
      <w:r>
        <w:rPr>
          <w:b/>
          <w:bCs/>
          <w:sz w:val="28"/>
          <w:szCs w:val="28"/>
        </w:rPr>
        <w:t xml:space="preserve">“Điều 4a. Phân cấp thẩm quyền quyết định tiêu chuẩn, định mức sử dụng máy móc, thiết bị đầu cuối cơ bản phục vụ công việc thường xuyên trên môi trường số </w:t>
      </w:r>
    </w:p>
    <w:p w14:paraId="5A2D3629">
      <w:pPr>
        <w:spacing w:before="120" w:after="120"/>
        <w:ind w:firstLine="720"/>
        <w:jc w:val="both"/>
        <w:rPr>
          <w:b/>
          <w:bCs/>
          <w:sz w:val="28"/>
          <w:szCs w:val="28"/>
        </w:rPr>
      </w:pPr>
      <w:r>
        <w:rPr>
          <w:bCs/>
          <w:sz w:val="28"/>
          <w:szCs w:val="28"/>
          <w:lang w:val="vi-VN"/>
        </w:rPr>
        <w:t xml:space="preserve">Cơ quan chuyên môn, tổ chức hành chính khác, đơn vị sự nghiệp công lập thuộc Ủy ban nhân dân tỉnh, Chủ tịch Ủy ban nhân dân xã, phường quyết định số lượng và mức giá máy móc, thiết bị đầu cuối cơ bản phục vụ công việc thường xuyên trên môi trường số quy định tại Mục C Phụ lục ban hành kèm theo Quyết định số 10/2026/QĐ-TTg cho đơn vị mình và các cơ quan, tổ chức, đơn vị thuộc phạm vi quản lý, trên cơ sở chức năng, nhiệm vụ, tính chất công việc, nhu cầu sử dụng, khả năng nguồn kinh phí được phép sử dụng và hướng dẫn của Bộ Khoa học và Công nghệ về yêu cầu kỹ thuật, cấu hình tối thiểu. </w:t>
      </w:r>
    </w:p>
    <w:p w14:paraId="4C597757">
      <w:pPr>
        <w:spacing w:before="120" w:after="120"/>
        <w:ind w:firstLine="720"/>
        <w:jc w:val="both"/>
        <w:rPr>
          <w:b/>
          <w:bCs/>
          <w:sz w:val="28"/>
          <w:szCs w:val="28"/>
        </w:rPr>
      </w:pPr>
      <w:r>
        <w:rPr>
          <w:b/>
          <w:bCs/>
          <w:sz w:val="28"/>
          <w:szCs w:val="28"/>
        </w:rPr>
        <w:t>Điều 4b. Phân cấp thẩm quyền quyết định tiêu chuẩn, định mức sử dụng máy móc, thiết bị phục vụ công tác bí mật nhà nước trên môi trường số</w:t>
      </w:r>
    </w:p>
    <w:p w14:paraId="2A6C6690">
      <w:pPr>
        <w:pStyle w:val="16"/>
        <w:spacing w:before="120" w:after="120"/>
        <w:ind w:firstLine="709"/>
        <w:jc w:val="both"/>
        <w:rPr>
          <w:bCs/>
          <w:sz w:val="28"/>
          <w:szCs w:val="28"/>
          <w:lang w:val="vi-VN"/>
        </w:rPr>
      </w:pPr>
      <w:r>
        <w:rPr>
          <w:sz w:val="28"/>
        </w:rPr>
        <w:t>Cơ quan chuyên môn, tổ chức hành chính khác, đơn vị sự nghiệp công lập thuộc Ủy ban nhân dân tỉnh, Chủ tịch Ủy ban nhân dân xã, phường quyết định cho đơn vị mình và các cơ quan, tổ chức, đơn vị thuộc phạm vi quản lý đối với các nội dung sau:</w:t>
      </w:r>
    </w:p>
    <w:p w14:paraId="1449EB92">
      <w:pPr>
        <w:pStyle w:val="16"/>
        <w:spacing w:before="120" w:after="120"/>
        <w:ind w:firstLine="709"/>
        <w:jc w:val="both"/>
      </w:pPr>
      <w:r>
        <w:rPr>
          <w:sz w:val="28"/>
          <w:szCs w:val="28"/>
          <w:lang w:val="vi-VN"/>
        </w:rPr>
        <w:t>1.</w:t>
      </w:r>
      <w:r>
        <w:rPr>
          <w:bCs/>
          <w:sz w:val="28"/>
          <w:szCs w:val="28"/>
          <w:lang w:val="vi-VN"/>
        </w:rPr>
        <w:t xml:space="preserve"> Đối với các chức danh tại cơ quan, tổ chức, đơn vị mà theo chức năng, nhiệm vụ được giao phải thường xuyên xử lý công việc có nội dung thuộc phạm vi bí mật nhà nước, căn cứ khối lượng, tính chất của công việc chứa bí mật nhà nước, quyết định số lượng máy móc, thiết bị quy định tại Mục D Phụ lục ban hành kèm theo Quyết định số 10/2026/QĐ-TTg trang bị cho các chức danh để phục vụ công tác bảo vệ bí mật nhà nước.</w:t>
      </w:r>
    </w:p>
    <w:p w14:paraId="2D23B793">
      <w:pPr>
        <w:pStyle w:val="16"/>
        <w:spacing w:before="120" w:after="120"/>
        <w:ind w:firstLine="709"/>
        <w:jc w:val="both"/>
      </w:pPr>
      <w:r>
        <w:rPr>
          <w:sz w:val="28"/>
          <w:szCs w:val="28"/>
          <w:lang w:val="vi-VN"/>
        </w:rPr>
        <w:t>2.</w:t>
      </w:r>
      <w:r>
        <w:rPr>
          <w:bCs/>
          <w:sz w:val="28"/>
          <w:szCs w:val="28"/>
          <w:lang w:val="vi-VN"/>
        </w:rPr>
        <w:t xml:space="preserve"> Đối với các trường hợp còn lại, căn cứ chức năng, nhiệm vụ, tính chất, mức độ bí mật của công việc theo quy định của pháp luật về bảo vệ bí mật nhà nước và nhu cầu sử dụng, quyết định số lượng máy móc, thiết bị quy định tại Mục D Phụ lục ban hành kèm theo Quyết định số 10/2026/QĐ-TTg cho các chức danh hoặc tại phòng làm việc của các cơ quan, tổ chức, đơn vị thuộc phạm vi quản lý để phục vụ công tác bảo vệ bí mật nhà nước.</w:t>
      </w:r>
    </w:p>
    <w:p w14:paraId="7D6915D3">
      <w:pPr>
        <w:pStyle w:val="16"/>
        <w:spacing w:before="120" w:after="120"/>
        <w:ind w:firstLine="709"/>
        <w:jc w:val="both"/>
      </w:pPr>
      <w:r>
        <w:rPr>
          <w:sz w:val="28"/>
          <w:szCs w:val="28"/>
          <w:lang w:val="vi-VN"/>
        </w:rPr>
        <w:t>3.</w:t>
      </w:r>
      <w:r>
        <w:rPr>
          <w:bCs/>
          <w:sz w:val="28"/>
          <w:szCs w:val="28"/>
          <w:lang w:val="vi-VN"/>
        </w:rPr>
        <w:t xml:space="preserve"> Quyết định mức giá máy móc, thiết bị phục vụ công tác bí mật nhà nước trên môi trường số đối với trường hợp cơ quan chủ trì triển khai xử lý hồ sơ, công việc chứa bí mật nhà nước trên môi trường số yêu cầu trang bị máy móc, thiết bị từ số thứ tự 1 đến số thứ tự 6 Mục D Phụ lục ban hành kèm theo Quyết định số 10/2026/QĐ-TTg có yêu cầu về tính năng, dung lượng, cấu hình mà có mức giá cao hơn mức giá của máy móc, thiết bị tương ứng quy định tại Mục A, Mục B và trường hợp trang bị máy móc, thiết bị tại số thứ tự 7, số thứ tự 8 Mục D Phụ lục ban hành kèm theo Quyết định số 10/2026/QĐ-TTg.”</w:t>
      </w:r>
    </w:p>
    <w:p w14:paraId="7812860D">
      <w:pPr>
        <w:spacing w:before="120" w:after="120"/>
        <w:ind w:firstLine="720"/>
        <w:jc w:val="both"/>
      </w:pPr>
      <w:r>
        <w:rPr>
          <w:b/>
          <w:bCs/>
          <w:sz w:val="28"/>
          <w:szCs w:val="28"/>
        </w:rPr>
        <w:t xml:space="preserve">Điều 2. </w:t>
      </w:r>
      <w:r>
        <w:rPr>
          <w:b/>
          <w:bCs/>
          <w:sz w:val="28"/>
          <w:szCs w:val="28"/>
          <w:lang w:val="vi-VN"/>
        </w:rPr>
        <w:t>Thay</w:t>
      </w:r>
      <w:r>
        <w:rPr>
          <w:b/>
          <w:bCs/>
          <w:sz w:val="28"/>
          <w:szCs w:val="28"/>
        </w:rPr>
        <w:t xml:space="preserve"> thế một số </w:t>
      </w:r>
      <w:r>
        <w:rPr>
          <w:b/>
          <w:bCs/>
          <w:sz w:val="28"/>
          <w:szCs w:val="28"/>
          <w:lang w:val="vi-VN"/>
        </w:rPr>
        <w:t>cụm từ</w:t>
      </w:r>
      <w:r>
        <w:rPr>
          <w:b/>
          <w:bCs/>
          <w:sz w:val="28"/>
          <w:szCs w:val="28"/>
        </w:rPr>
        <w:t xml:space="preserve"> của Quyết định số </w:t>
      </w:r>
      <w:r>
        <w:rPr>
          <w:b/>
          <w:bCs/>
          <w:sz w:val="28"/>
          <w:szCs w:val="28"/>
          <w:lang w:val="vi-VN"/>
        </w:rPr>
        <w:t>98</w:t>
      </w:r>
      <w:r>
        <w:rPr>
          <w:b/>
          <w:bCs/>
          <w:sz w:val="28"/>
          <w:szCs w:val="28"/>
        </w:rPr>
        <w:t xml:space="preserve">/2025/QĐ-UBND ngày </w:t>
      </w:r>
      <w:r>
        <w:rPr>
          <w:b/>
          <w:bCs/>
          <w:sz w:val="28"/>
          <w:szCs w:val="28"/>
          <w:lang w:val="vi-VN"/>
        </w:rPr>
        <w:t xml:space="preserve">22 </w:t>
      </w:r>
      <w:r>
        <w:rPr>
          <w:b/>
          <w:bCs/>
          <w:sz w:val="28"/>
          <w:szCs w:val="28"/>
        </w:rPr>
        <w:t xml:space="preserve">tháng 12 năm 2025 của UBND tỉnh </w:t>
      </w:r>
      <w:r>
        <w:rPr>
          <w:b/>
          <w:bCs/>
          <w:sz w:val="28"/>
          <w:szCs w:val="28"/>
          <w:lang w:val="vi-VN"/>
        </w:rPr>
        <w:t xml:space="preserve">Hà Tĩnh </w:t>
      </w:r>
    </w:p>
    <w:p w14:paraId="1E4E5C4E">
      <w:pPr>
        <w:spacing w:before="120" w:after="120"/>
        <w:ind w:firstLine="720"/>
        <w:jc w:val="both"/>
      </w:pPr>
      <w:r>
        <w:rPr>
          <w:sz w:val="28"/>
          <w:szCs w:val="28"/>
          <w:lang w:val="vi-VN"/>
        </w:rPr>
        <w:t>1.</w:t>
      </w:r>
      <w:r>
        <w:rPr>
          <w:sz w:val="28"/>
          <w:szCs w:val="28"/>
        </w:rPr>
        <w:t xml:space="preserve"> Thay thế cụm từ “Mục A Phụ lục II </w:t>
      </w:r>
      <w:r>
        <w:rPr>
          <w:sz w:val="28"/>
          <w:szCs w:val="28"/>
          <w:lang w:val="vi-VN"/>
        </w:rPr>
        <w:t xml:space="preserve">ban hành kèm theo </w:t>
      </w:r>
      <w:r>
        <w:rPr>
          <w:sz w:val="28"/>
          <w:szCs w:val="28"/>
        </w:rPr>
        <w:t xml:space="preserve">Quyết định số 15/2025/QĐ-TTg” bằng cụm từ “Mục A Phụ lục </w:t>
      </w:r>
      <w:r>
        <w:rPr>
          <w:sz w:val="28"/>
          <w:szCs w:val="28"/>
          <w:lang w:val="vi-VN"/>
        </w:rPr>
        <w:t xml:space="preserve">ban hành kèm theo </w:t>
      </w:r>
      <w:r>
        <w:rPr>
          <w:sz w:val="28"/>
          <w:szCs w:val="28"/>
        </w:rPr>
        <w:t xml:space="preserve">Quyết định số 10/2026/QĐ-TTg” tại </w:t>
      </w:r>
      <w:r>
        <w:rPr>
          <w:sz w:val="28"/>
          <w:szCs w:val="28"/>
          <w:lang w:val="vi-VN"/>
        </w:rPr>
        <w:t xml:space="preserve">điểm a, điểm b </w:t>
      </w:r>
      <w:r>
        <w:rPr>
          <w:sz w:val="28"/>
          <w:szCs w:val="28"/>
        </w:rPr>
        <w:t>khoản 1</w:t>
      </w:r>
      <w:r>
        <w:rPr>
          <w:sz w:val="28"/>
          <w:szCs w:val="28"/>
          <w:lang w:val="vi-VN"/>
        </w:rPr>
        <w:t xml:space="preserve"> Điều 1 và </w:t>
      </w:r>
      <w:r>
        <w:rPr>
          <w:sz w:val="28"/>
          <w:szCs w:val="28"/>
        </w:rPr>
        <w:t xml:space="preserve">khoản </w:t>
      </w:r>
      <w:r>
        <w:rPr>
          <w:sz w:val="28"/>
          <w:szCs w:val="28"/>
          <w:lang w:val="vi-VN"/>
        </w:rPr>
        <w:t>1</w:t>
      </w:r>
      <w:r>
        <w:rPr>
          <w:sz w:val="28"/>
          <w:szCs w:val="28"/>
        </w:rPr>
        <w:t xml:space="preserve">, khoản </w:t>
      </w:r>
      <w:r>
        <w:rPr>
          <w:sz w:val="28"/>
          <w:szCs w:val="28"/>
          <w:lang w:val="vi-VN"/>
        </w:rPr>
        <w:t>2</w:t>
      </w:r>
      <w:r>
        <w:rPr>
          <w:sz w:val="28"/>
          <w:szCs w:val="28"/>
        </w:rPr>
        <w:t xml:space="preserve"> Điều </w:t>
      </w:r>
      <w:r>
        <w:rPr>
          <w:sz w:val="28"/>
          <w:szCs w:val="28"/>
          <w:lang w:val="vi-VN"/>
        </w:rPr>
        <w:t>3</w:t>
      </w:r>
      <w:r>
        <w:rPr>
          <w:sz w:val="28"/>
          <w:szCs w:val="28"/>
        </w:rPr>
        <w:t>.</w:t>
      </w:r>
    </w:p>
    <w:p w14:paraId="00D8849B">
      <w:pPr>
        <w:spacing w:before="120" w:after="120"/>
        <w:ind w:firstLine="720"/>
        <w:jc w:val="both"/>
      </w:pPr>
      <w:r>
        <w:rPr>
          <w:sz w:val="28"/>
          <w:szCs w:val="28"/>
          <w:lang w:val="vi-VN"/>
        </w:rPr>
        <w:t>2.</w:t>
      </w:r>
      <w:r>
        <w:rPr>
          <w:sz w:val="28"/>
          <w:szCs w:val="28"/>
        </w:rPr>
        <w:t xml:space="preserve"> Thay thế cụm từ “Mục B Phụ lục II </w:t>
      </w:r>
      <w:r>
        <w:rPr>
          <w:sz w:val="28"/>
          <w:szCs w:val="28"/>
          <w:lang w:val="vi-VN"/>
        </w:rPr>
        <w:t xml:space="preserve">ban hành kèm theo </w:t>
      </w:r>
      <w:r>
        <w:rPr>
          <w:sz w:val="28"/>
          <w:szCs w:val="28"/>
        </w:rPr>
        <w:t xml:space="preserve">Quyết định số 15/2025/QĐ-TTg” bằng cụm từ “Mục B Phụ lục </w:t>
      </w:r>
      <w:r>
        <w:rPr>
          <w:sz w:val="28"/>
          <w:szCs w:val="28"/>
          <w:lang w:val="vi-VN"/>
        </w:rPr>
        <w:t xml:space="preserve">ban hành kèm theo </w:t>
      </w:r>
      <w:r>
        <w:rPr>
          <w:sz w:val="28"/>
          <w:szCs w:val="28"/>
        </w:rPr>
        <w:t xml:space="preserve">Quyết định số 10/2026/QĐ-TTg” tại </w:t>
      </w:r>
      <w:r>
        <w:rPr>
          <w:sz w:val="28"/>
          <w:szCs w:val="28"/>
          <w:lang w:val="vi-VN"/>
        </w:rPr>
        <w:t xml:space="preserve">điểm a, điểm b </w:t>
      </w:r>
      <w:r>
        <w:rPr>
          <w:sz w:val="28"/>
          <w:szCs w:val="28"/>
        </w:rPr>
        <w:t>khoản 1</w:t>
      </w:r>
      <w:r>
        <w:rPr>
          <w:sz w:val="28"/>
          <w:szCs w:val="28"/>
          <w:lang w:val="vi-VN"/>
        </w:rPr>
        <w:t xml:space="preserve"> Điều 1 và</w:t>
      </w:r>
      <w:r>
        <w:rPr>
          <w:sz w:val="28"/>
          <w:szCs w:val="28"/>
        </w:rPr>
        <w:t xml:space="preserve"> </w:t>
      </w:r>
      <w:r>
        <w:rPr>
          <w:sz w:val="28"/>
          <w:szCs w:val="28"/>
          <w:lang w:val="vi-VN"/>
        </w:rPr>
        <w:t>khoản 1, khoản 2</w:t>
      </w:r>
      <w:r>
        <w:rPr>
          <w:sz w:val="28"/>
          <w:szCs w:val="28"/>
        </w:rPr>
        <w:t xml:space="preserve"> Điều 4.</w:t>
      </w:r>
    </w:p>
    <w:p w14:paraId="50714D4C">
      <w:pPr>
        <w:spacing w:before="120" w:after="120"/>
        <w:ind w:firstLine="720"/>
        <w:rPr>
          <w:sz w:val="28"/>
          <w:szCs w:val="28"/>
        </w:rPr>
      </w:pPr>
      <w:bookmarkStart w:id="2" w:name="dieu_5"/>
      <w:r>
        <w:rPr>
          <w:b/>
          <w:bCs/>
          <w:sz w:val="28"/>
          <w:szCs w:val="28"/>
        </w:rPr>
        <w:t xml:space="preserve">Điều 3. </w:t>
      </w:r>
      <w:bookmarkEnd w:id="2"/>
      <w:r>
        <w:rPr>
          <w:b/>
          <w:bCs/>
          <w:sz w:val="28"/>
          <w:szCs w:val="28"/>
        </w:rPr>
        <w:t>Điều khoản thi hành</w:t>
      </w:r>
    </w:p>
    <w:p w14:paraId="024E7EE6">
      <w:pPr>
        <w:spacing w:before="120" w:after="120"/>
        <w:ind w:firstLine="720"/>
        <w:jc w:val="both"/>
        <w:rPr>
          <w:sz w:val="28"/>
          <w:szCs w:val="28"/>
        </w:rPr>
      </w:pPr>
      <w:bookmarkStart w:id="3" w:name="_Hlk210811756"/>
      <w:r>
        <w:rPr>
          <w:b/>
          <w:bCs/>
          <w:sz w:val="28"/>
          <w:szCs w:val="28"/>
        </w:rPr>
        <w:t>Điều 4. Tổ chức thực hiện</w:t>
      </w:r>
      <w:bookmarkEnd w:id="3"/>
    </w:p>
    <w:p w14:paraId="14C0D34F">
      <w:pPr>
        <w:pStyle w:val="10"/>
        <w:spacing w:before="120" w:line="240" w:lineRule="auto"/>
        <w:ind w:firstLine="709"/>
        <w:jc w:val="both"/>
      </w:pPr>
      <w:r>
        <w:rPr>
          <w:b/>
          <w:szCs w:val="28"/>
        </w:rPr>
        <w:t>V. DỰ KIẾN NGUỒN LỰC, ĐIỀU KIỆN BẢO ĐẢM CHO VIỆC THI HÀNH VĂN BẢN VÀ THỜI GIAN TRÌNH THÔNG QUA</w:t>
      </w:r>
      <w:r>
        <w:rPr>
          <w:szCs w:val="28"/>
        </w:rPr>
        <w:t xml:space="preserve"> </w:t>
      </w:r>
    </w:p>
    <w:p w14:paraId="2DD322AF">
      <w:pPr>
        <w:pStyle w:val="10"/>
        <w:spacing w:before="120" w:line="240" w:lineRule="auto"/>
        <w:ind w:firstLine="709"/>
        <w:jc w:val="both"/>
        <w:rPr>
          <w:szCs w:val="28"/>
        </w:rPr>
      </w:pPr>
      <w:r>
        <w:t>1. Dự kiến nguồn lực tài chính: Không làm phát sinh yêu cầu bố trí nguồn lực tài chính riêng để tổ chức thi hành văn bản; việc trang bị, mua sắm máy móc, thiết bị được thực hiện trong phạm vi nguồn kinh phí được phép sử dụng của các cơ quan, tổ chức, đơn vị theo quy định.</w:t>
      </w:r>
    </w:p>
    <w:p w14:paraId="28AC99CF">
      <w:pPr>
        <w:pStyle w:val="10"/>
        <w:spacing w:before="120" w:line="240" w:lineRule="auto"/>
        <w:ind w:firstLine="709"/>
        <w:jc w:val="both"/>
        <w:rPr>
          <w:szCs w:val="28"/>
        </w:rPr>
      </w:pPr>
      <w:r>
        <w:t>2. Điều kiện bảo đảm cho việc thi hành văn bản: Việc tổ chức thi hành được thực hiện trong phạm vi chức năng, nhiệm vụ của các cơ quan, tổ chức, đơn vị; Sở Tài chính thực hiện thông tin, tuyên truyền, phổ biến và hướng dẫn các nội dung có liên quan để bảo đảm triển khai thống nhất.</w:t>
      </w:r>
    </w:p>
    <w:p w14:paraId="3F9A9306">
      <w:pPr>
        <w:pStyle w:val="10"/>
        <w:spacing w:before="120" w:line="240" w:lineRule="auto"/>
        <w:ind w:firstLine="709"/>
        <w:jc w:val="both"/>
        <w:rPr>
          <w:szCs w:val="28"/>
        </w:rPr>
      </w:pPr>
      <w:r>
        <w:rPr>
          <w:szCs w:val="28"/>
        </w:rPr>
        <w:t xml:space="preserve">3. Thời gian trình thông qua: Tháng 10/2026. </w:t>
      </w:r>
    </w:p>
    <w:p w14:paraId="7C746A03">
      <w:pPr>
        <w:spacing w:before="120" w:after="120"/>
        <w:ind w:firstLine="709"/>
        <w:jc w:val="both"/>
      </w:pPr>
      <w:r>
        <w:rPr>
          <w:sz w:val="28"/>
          <w:szCs w:val="28"/>
        </w:rPr>
        <w:t xml:space="preserve">Trên đây là Tờ trình về dự thảo Quyết định của UBND tỉnh Hà Tĩnh </w:t>
      </w:r>
      <w:r>
        <w:rPr>
          <w:bCs/>
          <w:sz w:val="28"/>
          <w:szCs w:val="28"/>
        </w:rPr>
        <w:t>sửa đổi, bổ sung</w:t>
      </w:r>
      <w:r>
        <w:rPr>
          <w:bCs/>
          <w:color w:val="EE0000"/>
          <w:sz w:val="28"/>
          <w:szCs w:val="28"/>
        </w:rPr>
        <w:t xml:space="preserve"> </w:t>
      </w:r>
      <w:r>
        <w:rPr>
          <w:bCs/>
          <w:sz w:val="28"/>
          <w:szCs w:val="28"/>
        </w:rPr>
        <w:t xml:space="preserve">một số điều của Quyết định số 98/2025/QĐ-UBND ngày 22 tháng 12 năm 2025 của UBND tỉnh phân cấp thẩm quyền quyết định tiêu chuẩn, định mức sử dụng máy móc, thiết bị </w:t>
      </w:r>
      <w:r>
        <w:rPr>
          <w:bCs/>
          <w:sz w:val="28"/>
          <w:szCs w:val="28"/>
          <w:lang w:val="vi-VN"/>
        </w:rPr>
        <w:t xml:space="preserve">đối với </w:t>
      </w:r>
      <w:r>
        <w:rPr>
          <w:bCs/>
          <w:sz w:val="28"/>
          <w:szCs w:val="28"/>
        </w:rPr>
        <w:t xml:space="preserve">các cơ quan, tổ chức, đơn vị thuộc phạm vi quản lý của tỉnh </w:t>
      </w:r>
      <w:r>
        <w:rPr>
          <w:bCs/>
          <w:sz w:val="28"/>
          <w:szCs w:val="28"/>
          <w:lang w:val="vi-VN"/>
        </w:rPr>
        <w:t>Hà Tĩnh</w:t>
      </w:r>
    </w:p>
    <w:p w14:paraId="29DBB7F1">
      <w:pPr>
        <w:spacing w:before="120" w:after="120"/>
        <w:ind w:firstLine="709"/>
        <w:jc w:val="both"/>
        <w:rPr>
          <w:i/>
          <w:spacing w:val="-4"/>
          <w:sz w:val="28"/>
          <w:szCs w:val="28"/>
        </w:rPr>
      </w:pPr>
      <w:r>
        <w:rPr>
          <w:i/>
          <w:spacing w:val="-4"/>
          <w:sz w:val="28"/>
          <w:szCs w:val="28"/>
        </w:rPr>
        <w:t xml:space="preserve"> (Xin gửi kèm theo: (1) Dự thảo Quyết định; (2) Tờ trình xây dựng Quyết định; (3) Báo cáo thẩm định; (4) Báo cáo tiếp thu, giải trình ý kiến thẩm định.)</w:t>
      </w:r>
    </w:p>
    <w:p w14:paraId="31C44FB7">
      <w:pPr>
        <w:spacing w:before="120" w:after="120"/>
        <w:ind w:firstLine="709"/>
        <w:jc w:val="both"/>
        <w:rPr>
          <w:rFonts w:eastAsia="Calibri"/>
          <w:bCs/>
          <w:spacing w:val="-4"/>
          <w:sz w:val="28"/>
          <w:szCs w:val="28"/>
          <w:lang w:val="nl-NL"/>
        </w:rPr>
      </w:pPr>
      <w:r>
        <w:rPr>
          <w:sz w:val="28"/>
        </w:rPr>
        <w:t>Sở Tài chính kính trình UBND tỉnh xem xét, ban hành./.</w:t>
      </w:r>
    </w:p>
    <w:p w14:paraId="351106D4">
      <w:pPr>
        <w:pStyle w:val="12"/>
        <w:tabs>
          <w:tab w:val="clear" w:pos="4320"/>
          <w:tab w:val="clear" w:pos="8640"/>
        </w:tabs>
        <w:ind w:firstLine="720"/>
        <w:jc w:val="both"/>
        <w:rPr>
          <w:rFonts w:eastAsia="Calibri"/>
          <w:bCs/>
          <w:spacing w:val="-4"/>
          <w:sz w:val="20"/>
          <w:szCs w:val="20"/>
        </w:rPr>
      </w:pPr>
      <w:bookmarkStart w:id="4" w:name="_Hlk180048098"/>
      <w:bookmarkEnd w:id="4"/>
    </w:p>
    <w:tbl>
      <w:tblPr>
        <w:tblStyle w:val="7"/>
        <w:tblW w:w="9022" w:type="dxa"/>
        <w:tblInd w:w="108" w:type="dxa"/>
        <w:tblLayout w:type="fixed"/>
        <w:tblCellMar>
          <w:top w:w="0" w:type="dxa"/>
          <w:left w:w="108" w:type="dxa"/>
          <w:bottom w:w="0" w:type="dxa"/>
          <w:right w:w="108" w:type="dxa"/>
        </w:tblCellMar>
      </w:tblPr>
      <w:tblGrid>
        <w:gridCol w:w="4536"/>
        <w:gridCol w:w="4486"/>
      </w:tblGrid>
      <w:tr w14:paraId="7ACD4778">
        <w:tblPrEx>
          <w:tblCellMar>
            <w:top w:w="0" w:type="dxa"/>
            <w:left w:w="108" w:type="dxa"/>
            <w:bottom w:w="0" w:type="dxa"/>
            <w:right w:w="108" w:type="dxa"/>
          </w:tblCellMar>
        </w:tblPrEx>
        <w:trPr>
          <w:trHeight w:val="1618" w:hRule="atLeast"/>
        </w:trPr>
        <w:tc>
          <w:tcPr>
            <w:tcW w:w="4536" w:type="dxa"/>
          </w:tcPr>
          <w:p w14:paraId="211323B9">
            <w:pPr>
              <w:jc w:val="both"/>
              <w:rPr>
                <w:b/>
                <w:bCs/>
                <w:i/>
                <w:iCs/>
                <w:lang w:val="nb-NO"/>
              </w:rPr>
            </w:pPr>
            <w:r>
              <w:rPr>
                <w:b/>
                <w:bCs/>
                <w:i/>
                <w:iCs/>
                <w:lang w:val="nb-NO"/>
              </w:rPr>
              <w:t>Nơi nhận:</w:t>
            </w:r>
          </w:p>
          <w:p w14:paraId="2520AA0E">
            <w:pPr>
              <w:jc w:val="both"/>
              <w:rPr>
                <w:sz w:val="22"/>
                <w:szCs w:val="22"/>
                <w:lang w:val="nb-NO"/>
              </w:rPr>
            </w:pPr>
            <w:r>
              <w:rPr>
                <w:sz w:val="22"/>
                <w:szCs w:val="22"/>
                <w:lang w:val="nb-NO"/>
              </w:rPr>
              <w:t>- Như trên;</w:t>
            </w:r>
          </w:p>
          <w:p w14:paraId="54F3BF3E">
            <w:pPr>
              <w:jc w:val="both"/>
              <w:rPr>
                <w:sz w:val="22"/>
                <w:szCs w:val="22"/>
                <w:lang w:val="nb-NO"/>
              </w:rPr>
            </w:pPr>
            <w:r>
              <w:rPr>
                <w:sz w:val="22"/>
                <w:szCs w:val="22"/>
                <w:lang w:val="nb-NO"/>
              </w:rPr>
              <w:t>- Ban Giám đốc Sở (b/c);</w:t>
            </w:r>
          </w:p>
          <w:p w14:paraId="3F0A1CFB">
            <w:pPr>
              <w:jc w:val="both"/>
              <w:rPr>
                <w:sz w:val="22"/>
                <w:szCs w:val="22"/>
              </w:rPr>
            </w:pPr>
            <w:r>
              <w:rPr>
                <w:sz w:val="22"/>
                <w:szCs w:val="22"/>
              </w:rPr>
              <w:t>- Lưu: VT, GCS.</w:t>
            </w:r>
          </w:p>
        </w:tc>
        <w:tc>
          <w:tcPr>
            <w:tcW w:w="4486" w:type="dxa"/>
          </w:tcPr>
          <w:p w14:paraId="5A1F8DA5">
            <w:pPr>
              <w:tabs>
                <w:tab w:val="left" w:pos="672"/>
              </w:tabs>
              <w:spacing w:before="60" w:after="60"/>
              <w:jc w:val="center"/>
              <w:rPr>
                <w:b/>
                <w:bCs/>
                <w:sz w:val="26"/>
                <w:szCs w:val="26"/>
                <w:lang w:val="vi-VN"/>
              </w:rPr>
            </w:pPr>
            <w:r>
              <w:rPr>
                <w:b/>
                <w:bCs/>
                <w:sz w:val="26"/>
                <w:szCs w:val="26"/>
              </w:rPr>
              <w:t xml:space="preserve">KT. </w:t>
            </w:r>
            <w:r>
              <w:rPr>
                <w:b/>
                <w:bCs/>
                <w:sz w:val="26"/>
                <w:szCs w:val="26"/>
                <w:lang w:val="vi-VN"/>
              </w:rPr>
              <w:t>GIÁM ĐỐC</w:t>
            </w:r>
          </w:p>
          <w:p w14:paraId="1C2BA0D8">
            <w:pPr>
              <w:tabs>
                <w:tab w:val="left" w:pos="672"/>
              </w:tabs>
              <w:spacing w:before="60" w:after="60"/>
              <w:jc w:val="center"/>
              <w:rPr>
                <w:b/>
                <w:bCs/>
                <w:sz w:val="26"/>
                <w:szCs w:val="26"/>
              </w:rPr>
            </w:pPr>
            <w:r>
              <w:rPr>
                <w:b/>
                <w:bCs/>
                <w:sz w:val="26"/>
                <w:szCs w:val="26"/>
              </w:rPr>
              <w:t>PHÓ GIÁM ĐỐC</w:t>
            </w:r>
          </w:p>
          <w:p w14:paraId="1F79CE66">
            <w:pPr>
              <w:tabs>
                <w:tab w:val="left" w:pos="672"/>
              </w:tabs>
              <w:jc w:val="center"/>
              <w:rPr>
                <w:b/>
                <w:bCs/>
                <w:sz w:val="114"/>
                <w:szCs w:val="72"/>
                <w:lang w:val="vi-VN"/>
              </w:rPr>
            </w:pPr>
          </w:p>
          <w:p w14:paraId="3F983159">
            <w:pPr>
              <w:spacing w:before="60" w:after="60"/>
              <w:jc w:val="center"/>
              <w:rPr>
                <w:b/>
                <w:bCs/>
                <w:sz w:val="28"/>
                <w:szCs w:val="28"/>
              </w:rPr>
            </w:pPr>
            <w:r>
              <w:rPr>
                <w:b/>
                <w:bCs/>
                <w:sz w:val="28"/>
                <w:szCs w:val="28"/>
              </w:rPr>
              <w:t>Thiều Đình Long</w:t>
            </w:r>
          </w:p>
          <w:p w14:paraId="7A453F2F">
            <w:pPr>
              <w:jc w:val="center"/>
              <w:rPr>
                <w:b/>
                <w:bCs/>
                <w:sz w:val="2"/>
                <w:szCs w:val="28"/>
                <w:lang w:val="vi-VN"/>
              </w:rPr>
            </w:pPr>
          </w:p>
        </w:tc>
      </w:tr>
    </w:tbl>
    <w:p w14:paraId="50C0E139">
      <w:pPr>
        <w:spacing w:before="120" w:after="120"/>
      </w:pPr>
    </w:p>
    <w:sectPr>
      <w:headerReference r:id="rId4" w:type="first"/>
      <w:footerReference r:id="rId6" w:type="first"/>
      <w:headerReference r:id="rId3" w:type="default"/>
      <w:footerReference r:id="rId5" w:type="default"/>
      <w:pgSz w:w="11906" w:h="16838"/>
      <w:pgMar w:top="1134" w:right="1134" w:bottom="1021" w:left="1701" w:header="567" w:footer="181" w:gutter="0"/>
      <w:pgNumType w:start="1"/>
      <w:cols w:space="720" w:num="1"/>
      <w:formProt w:val="0"/>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Lohit Devanagari">
    <w:altName w:val="Times New Roman"/>
    <w:panose1 w:val="00000000000000000000"/>
    <w:charset w:val="00"/>
    <w:family w:val="auto"/>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SimSun"/>
    <w:panose1 w:val="00000000000000000000"/>
    <w:charset w:val="86"/>
    <w:family w:val="roman"/>
    <w:pitch w:val="default"/>
    <w:sig w:usb0="00000000" w:usb1="00000000" w:usb2="00000000" w:usb3="00000000" w:csb0="00000000" w:csb1="00000000"/>
  </w:font>
  <w:font w:name=".VnTime">
    <w:altName w:val="Segoe Print"/>
    <w:panose1 w:val="00000000000000000000"/>
    <w:charset w:val="00"/>
    <w:family w:val="swiss"/>
    <w:pitch w:val="default"/>
    <w:sig w:usb0="00000000" w:usb1="00000000" w:usb2="00000000" w:usb3="00000000" w:csb0="00000001" w:csb1="00000000"/>
  </w:font>
  <w:font w:name=".VnAvantH">
    <w:altName w:val="Courier New"/>
    <w:panose1 w:val="00000000000000000000"/>
    <w:charset w:val="00"/>
    <w:family w:val="swiss"/>
    <w:pitch w:val="default"/>
    <w:sig w:usb0="00000000" w:usb1="00000000" w:usb2="00000000" w:usb3="00000000" w:csb0="00000001" w:csb1="00000000"/>
  </w:font>
  <w:font w:name=".VnTimeH">
    <w:altName w:val="Courier New"/>
    <w:panose1 w:val="00000000000000000000"/>
    <w:charset w:val="00"/>
    <w:family w:val="swiss"/>
    <w:pitch w:val="default"/>
    <w:sig w:usb0="00000000" w:usb1="00000000" w:usb2="00000000" w:usb3="00000000" w:csb0="00000013" w:csb1="00000000"/>
  </w:font>
  <w:font w:name="Symbol">
    <w:panose1 w:val="05050102010706020507"/>
    <w:charset w:val="02"/>
    <w:family w:val="roman"/>
    <w:pitch w:val="default"/>
    <w:sig w:usb0="00000000" w:usb1="00000000" w:usb2="00000000" w:usb3="00000000" w:csb0="80000000" w:csb1="00000000"/>
  </w:font>
  <w:font w:name="Segoe UI">
    <w:panose1 w:val="020B0502040204020203"/>
    <w:charset w:val="00"/>
    <w:family w:val="swiss"/>
    <w:pitch w:val="default"/>
    <w:sig w:usb0="E4002EFF" w:usb1="C000E47F" w:usb2="00000009" w:usb3="00000000" w:csb0="200001FF" w:csb1="00000000"/>
  </w:font>
  <w:font w:name="Liberation Sans">
    <w:altName w:val="Arial"/>
    <w:panose1 w:val="00000000000000000000"/>
    <w:charset w:val="00"/>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EF5C9">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44D3">
    <w:pPr>
      <w:pStyle w:val="12"/>
    </w:pPr>
  </w:p>
  <w:p w14:paraId="679E4B5A">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A9E16">
    <w:pPr>
      <w:pStyle w:val="13"/>
      <w:jc w:val="center"/>
    </w:pPr>
    <w:r>
      <w:fldChar w:fldCharType="begin"/>
    </w:r>
    <w:r>
      <w:instrText xml:space="preserve"> PAGE </w:instrText>
    </w:r>
    <w:r>
      <w:fldChar w:fldCharType="separate"/>
    </w:r>
    <w:r>
      <w:t>8</w:t>
    </w:r>
    <w:r>
      <w:fldChar w:fldCharType="end"/>
    </w:r>
  </w:p>
  <w:p w14:paraId="074E1829">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512E">
    <w:pPr>
      <w:pStyle w:val="13"/>
      <w:jc w:val="center"/>
    </w:pPr>
  </w:p>
  <w:p w14:paraId="182923A9">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F179C"/>
    <w:multiLevelType w:val="multilevel"/>
    <w:tmpl w:val="05CF179C"/>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E1D2C2D"/>
    <w:multiLevelType w:val="multilevel"/>
    <w:tmpl w:val="0E1D2C2D"/>
    <w:lvl w:ilvl="0" w:tentative="0">
      <w:start w:val="1"/>
      <w:numFmt w:val="decimal"/>
      <w:lvlText w:val="%1."/>
      <w:lvlJc w:val="left"/>
      <w:pPr>
        <w:tabs>
          <w:tab w:val="left" w:pos="0"/>
        </w:tabs>
        <w:ind w:left="927"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23386426"/>
    <w:multiLevelType w:val="multilevel"/>
    <w:tmpl w:val="23386426"/>
    <w:lvl w:ilvl="0" w:tentative="0">
      <w:start w:val="1"/>
      <w:numFmt w:val="bullet"/>
      <w:lvlText w:val="-"/>
      <w:lvlJc w:val="left"/>
      <w:pPr>
        <w:tabs>
          <w:tab w:val="left" w:pos="0"/>
        </w:tabs>
        <w:ind w:left="1069"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2ED15642"/>
    <w:multiLevelType w:val="multilevel"/>
    <w:tmpl w:val="2ED15642"/>
    <w:lvl w:ilvl="0" w:tentative="0">
      <w:start w:val="1"/>
      <w:numFmt w:val="decimal"/>
      <w:lvlText w:val="%1."/>
      <w:lvlJc w:val="left"/>
      <w:pPr>
        <w:tabs>
          <w:tab w:val="left" w:pos="0"/>
        </w:tabs>
        <w:ind w:left="72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69BE5B08"/>
    <w:multiLevelType w:val="multilevel"/>
    <w:tmpl w:val="69BE5B08"/>
    <w:lvl w:ilvl="0" w:tentative="0">
      <w:start w:val="1"/>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291"/>
    <w:rsid w:val="00130D3F"/>
    <w:rsid w:val="0053713B"/>
    <w:rsid w:val="0077166C"/>
    <w:rsid w:val="00772EA0"/>
    <w:rsid w:val="007E6FEF"/>
    <w:rsid w:val="009E6291"/>
    <w:rsid w:val="00CB7E0D"/>
    <w:rsid w:val="7B934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sz w:val="24"/>
      <w:szCs w:val="24"/>
      <w:lang w:val="en-US" w:eastAsia="zh-CN" w:bidi="ar-SA"/>
    </w:rPr>
  </w:style>
  <w:style w:type="paragraph" w:styleId="2">
    <w:name w:val="heading 1"/>
    <w:basedOn w:val="1"/>
    <w:next w:val="1"/>
    <w:qFormat/>
    <w:uiPriority w:val="0"/>
    <w:pPr>
      <w:keepNext/>
      <w:numPr>
        <w:ilvl w:val="0"/>
        <w:numId w:val="1"/>
      </w:numPr>
      <w:jc w:val="center"/>
      <w:outlineLvl w:val="0"/>
    </w:pPr>
    <w:rPr>
      <w:rFonts w:ascii=".VnTime" w:hAnsi=".VnTime" w:cs=".VnTime"/>
      <w:i/>
      <w:sz w:val="28"/>
      <w:szCs w:val="20"/>
    </w:rPr>
  </w:style>
  <w:style w:type="paragraph" w:styleId="3">
    <w:name w:val="heading 2"/>
    <w:basedOn w:val="1"/>
    <w:next w:val="1"/>
    <w:qFormat/>
    <w:uiPriority w:val="0"/>
    <w:pPr>
      <w:keepNext/>
      <w:numPr>
        <w:ilvl w:val="1"/>
        <w:numId w:val="1"/>
      </w:numPr>
      <w:jc w:val="center"/>
      <w:outlineLvl w:val="1"/>
    </w:pPr>
    <w:rPr>
      <w:rFonts w:ascii=".VnAvantH" w:hAnsi=".VnAvantH" w:cs=".VnAvantH"/>
      <w:b/>
      <w:sz w:val="36"/>
      <w:szCs w:val="20"/>
    </w:rPr>
  </w:style>
  <w:style w:type="paragraph" w:styleId="4">
    <w:name w:val="heading 3"/>
    <w:basedOn w:val="1"/>
    <w:next w:val="1"/>
    <w:qFormat/>
    <w:uiPriority w:val="0"/>
    <w:pPr>
      <w:keepNext/>
      <w:numPr>
        <w:ilvl w:val="2"/>
        <w:numId w:val="1"/>
      </w:numPr>
      <w:jc w:val="center"/>
      <w:outlineLvl w:val="2"/>
    </w:pPr>
    <w:rPr>
      <w:rFonts w:ascii=".VnTime" w:hAnsi=".VnTime" w:cs=".VnTime"/>
      <w:b/>
      <w:sz w:val="28"/>
      <w:szCs w:val="20"/>
    </w:rPr>
  </w:style>
  <w:style w:type="paragraph" w:styleId="5">
    <w:name w:val="heading 4"/>
    <w:basedOn w:val="1"/>
    <w:next w:val="1"/>
    <w:qFormat/>
    <w:uiPriority w:val="0"/>
    <w:pPr>
      <w:keepNext/>
      <w:numPr>
        <w:ilvl w:val="3"/>
        <w:numId w:val="1"/>
      </w:numPr>
      <w:jc w:val="center"/>
      <w:outlineLvl w:val="3"/>
    </w:pPr>
    <w:rPr>
      <w:rFonts w:ascii=".VnTimeH" w:hAnsi=".VnTimeH" w:cs=".VnTimeH"/>
      <w:sz w:val="28"/>
      <w:szCs w:val="20"/>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qFormat/>
    <w:uiPriority w:val="0"/>
    <w:rPr>
      <w:rFonts w:ascii="Segoe UI" w:hAnsi="Segoe UI" w:cs="Segoe UI"/>
      <w:sz w:val="18"/>
      <w:szCs w:val="18"/>
    </w:rPr>
  </w:style>
  <w:style w:type="paragraph" w:styleId="9">
    <w:name w:val="Body Text"/>
    <w:basedOn w:val="1"/>
    <w:uiPriority w:val="0"/>
    <w:pPr>
      <w:jc w:val="both"/>
    </w:pPr>
    <w:rPr>
      <w:rFonts w:ascii=".VnTime" w:hAnsi=".VnTime" w:cs=".VnTime"/>
      <w:sz w:val="28"/>
      <w:szCs w:val="20"/>
    </w:rPr>
  </w:style>
  <w:style w:type="paragraph" w:styleId="10">
    <w:name w:val="Body Text 2"/>
    <w:basedOn w:val="1"/>
    <w:qFormat/>
    <w:uiPriority w:val="0"/>
    <w:pPr>
      <w:spacing w:after="120" w:line="480" w:lineRule="auto"/>
    </w:pPr>
    <w:rPr>
      <w:sz w:val="28"/>
    </w:rPr>
  </w:style>
  <w:style w:type="paragraph" w:styleId="11">
    <w:name w:val="caption"/>
    <w:basedOn w:val="1"/>
    <w:qFormat/>
    <w:uiPriority w:val="0"/>
    <w:pPr>
      <w:suppressLineNumbers/>
      <w:spacing w:before="120" w:after="120"/>
    </w:pPr>
    <w:rPr>
      <w:rFonts w:cs="Lohit Devanagari"/>
      <w:i/>
      <w:iCs/>
    </w:rPr>
  </w:style>
  <w:style w:type="paragraph" w:styleId="12">
    <w:name w:val="footer"/>
    <w:basedOn w:val="1"/>
    <w:qFormat/>
    <w:uiPriority w:val="0"/>
    <w:pPr>
      <w:tabs>
        <w:tab w:val="center" w:pos="4320"/>
        <w:tab w:val="right" w:pos="8640"/>
      </w:tabs>
    </w:pPr>
    <w:rPr>
      <w:sz w:val="28"/>
      <w:szCs w:val="28"/>
    </w:rPr>
  </w:style>
  <w:style w:type="paragraph" w:styleId="13">
    <w:name w:val="header"/>
    <w:basedOn w:val="1"/>
    <w:uiPriority w:val="0"/>
    <w:pPr>
      <w:tabs>
        <w:tab w:val="center" w:pos="4680"/>
        <w:tab w:val="right" w:pos="9360"/>
      </w:tabs>
    </w:pPr>
  </w:style>
  <w:style w:type="character" w:styleId="14">
    <w:name w:val="Hyperlink"/>
    <w:qFormat/>
    <w:uiPriority w:val="0"/>
    <w:rPr>
      <w:color w:val="0000FF"/>
      <w:u w:val="single"/>
    </w:rPr>
  </w:style>
  <w:style w:type="paragraph" w:styleId="15">
    <w:name w:val="List"/>
    <w:basedOn w:val="9"/>
    <w:uiPriority w:val="0"/>
    <w:rPr>
      <w:rFonts w:cs="Lohit Devanagari"/>
    </w:rPr>
  </w:style>
  <w:style w:type="paragraph" w:styleId="16">
    <w:name w:val="Normal (Web)"/>
    <w:basedOn w:val="1"/>
    <w:qFormat/>
    <w:uiPriority w:val="0"/>
    <w:pPr>
      <w:spacing w:before="280" w:after="280"/>
    </w:pPr>
  </w:style>
  <w:style w:type="character" w:styleId="17">
    <w:name w:val="page number"/>
    <w:basedOn w:val="6"/>
    <w:qFormat/>
    <w:uiPriority w:val="0"/>
  </w:style>
  <w:style w:type="character" w:styleId="18">
    <w:name w:val="Strong"/>
    <w:qFormat/>
    <w:uiPriority w:val="0"/>
    <w:rPr>
      <w:b/>
      <w:bCs/>
    </w:rPr>
  </w:style>
  <w:style w:type="character" w:customStyle="1" w:styleId="19">
    <w:name w:val="WW8Num1z0"/>
    <w:qFormat/>
    <w:uiPriority w:val="0"/>
    <w:rPr>
      <w:rFonts w:ascii="Times New Roman" w:hAnsi="Times New Roman" w:cs="Times New Roman"/>
      <w:color w:val="000000"/>
      <w:spacing w:val="0"/>
      <w:w w:val="100"/>
      <w:position w:val="0"/>
      <w:sz w:val="26"/>
      <w:szCs w:val="26"/>
      <w:u w:val="none"/>
      <w:vertAlign w:val="baseline"/>
    </w:rPr>
  </w:style>
  <w:style w:type="character" w:customStyle="1" w:styleId="20">
    <w:name w:val="WW8Num2z0"/>
    <w:qFormat/>
    <w:uiPriority w:val="0"/>
    <w:rPr>
      <w:rFonts w:ascii="Symbol" w:hAnsi="Symbol" w:cs="Symbol"/>
    </w:rPr>
  </w:style>
  <w:style w:type="character" w:customStyle="1" w:styleId="21">
    <w:name w:val="WW8Num2z1"/>
    <w:qFormat/>
    <w:uiPriority w:val="0"/>
    <w:rPr>
      <w:rFonts w:ascii="Courier New" w:hAnsi="Courier New" w:cs="Courier New"/>
    </w:rPr>
  </w:style>
  <w:style w:type="character" w:customStyle="1" w:styleId="22">
    <w:name w:val="WW8Num2z2"/>
    <w:qFormat/>
    <w:uiPriority w:val="0"/>
    <w:rPr>
      <w:rFonts w:ascii="Wingdings" w:hAnsi="Wingdings" w:cs="Wingdings"/>
    </w:rPr>
  </w:style>
  <w:style w:type="character" w:customStyle="1" w:styleId="23">
    <w:name w:val="WW8Num4z0"/>
    <w:qFormat/>
    <w:uiPriority w:val="0"/>
    <w:rPr>
      <w:rFonts w:ascii="Times New Roman" w:hAnsi="Times New Roman" w:eastAsia="Times New Roman" w:cs="Times New Roman"/>
    </w:rPr>
  </w:style>
  <w:style w:type="character" w:customStyle="1" w:styleId="24">
    <w:name w:val="WW8Num4z1"/>
    <w:qFormat/>
    <w:uiPriority w:val="0"/>
    <w:rPr>
      <w:rFonts w:ascii="Symbol" w:hAnsi="Symbol" w:eastAsia="Times New Roman" w:cs="Times New Roman"/>
      <w:color w:val="000000"/>
    </w:rPr>
  </w:style>
  <w:style w:type="character" w:customStyle="1" w:styleId="25">
    <w:name w:val="WW8Num4z2"/>
    <w:qFormat/>
    <w:uiPriority w:val="0"/>
    <w:rPr>
      <w:rFonts w:ascii="Wingdings" w:hAnsi="Wingdings" w:cs="Wingdings"/>
    </w:rPr>
  </w:style>
  <w:style w:type="character" w:customStyle="1" w:styleId="26">
    <w:name w:val="WW8Num4z3"/>
    <w:qFormat/>
    <w:uiPriority w:val="0"/>
    <w:rPr>
      <w:rFonts w:ascii="Symbol" w:hAnsi="Symbol" w:cs="Symbol"/>
    </w:rPr>
  </w:style>
  <w:style w:type="character" w:customStyle="1" w:styleId="27">
    <w:name w:val="WW8Num4z4"/>
    <w:qFormat/>
    <w:uiPriority w:val="0"/>
    <w:rPr>
      <w:rFonts w:ascii="Courier New" w:hAnsi="Courier New" w:cs="Courier New"/>
    </w:rPr>
  </w:style>
  <w:style w:type="character" w:customStyle="1" w:styleId="28">
    <w:name w:val="WW8Num5z0"/>
    <w:qFormat/>
    <w:uiPriority w:val="0"/>
    <w:rPr>
      <w:rFonts w:ascii="Times New Roman" w:hAnsi="Times New Roman" w:eastAsia="Times New Roman" w:cs="Times New Roman"/>
    </w:rPr>
  </w:style>
  <w:style w:type="character" w:customStyle="1" w:styleId="29">
    <w:name w:val="WW8Num5z1"/>
    <w:qFormat/>
    <w:uiPriority w:val="0"/>
    <w:rPr>
      <w:rFonts w:ascii="Courier New" w:hAnsi="Courier New" w:cs="Courier New"/>
    </w:rPr>
  </w:style>
  <w:style w:type="character" w:customStyle="1" w:styleId="30">
    <w:name w:val="WW8Num5z2"/>
    <w:qFormat/>
    <w:uiPriority w:val="0"/>
    <w:rPr>
      <w:rFonts w:ascii="Wingdings" w:hAnsi="Wingdings" w:cs="Wingdings"/>
    </w:rPr>
  </w:style>
  <w:style w:type="character" w:customStyle="1" w:styleId="31">
    <w:name w:val="WW8Num5z3"/>
    <w:qFormat/>
    <w:uiPriority w:val="0"/>
    <w:rPr>
      <w:rFonts w:ascii="Symbol" w:hAnsi="Symbol" w:cs="Symbol"/>
    </w:rPr>
  </w:style>
  <w:style w:type="character" w:customStyle="1" w:styleId="32">
    <w:name w:val="WW8Num6z0"/>
    <w:qFormat/>
    <w:uiPriority w:val="0"/>
    <w:rPr>
      <w:b/>
    </w:rPr>
  </w:style>
  <w:style w:type="character" w:customStyle="1" w:styleId="33">
    <w:name w:val="WW8Num7z0"/>
    <w:qFormat/>
    <w:uiPriority w:val="0"/>
    <w:rPr>
      <w:rFonts w:ascii="Symbol" w:hAnsi="Symbol" w:eastAsia="Times New Roman" w:cs="Times New Roman"/>
    </w:rPr>
  </w:style>
  <w:style w:type="character" w:customStyle="1" w:styleId="34">
    <w:name w:val="WW8Num7z1"/>
    <w:qFormat/>
    <w:uiPriority w:val="0"/>
    <w:rPr>
      <w:rFonts w:ascii="Courier New" w:hAnsi="Courier New" w:cs="Courier New"/>
    </w:rPr>
  </w:style>
  <w:style w:type="character" w:customStyle="1" w:styleId="35">
    <w:name w:val="WW8Num7z2"/>
    <w:qFormat/>
    <w:uiPriority w:val="0"/>
    <w:rPr>
      <w:rFonts w:ascii="Wingdings" w:hAnsi="Wingdings" w:cs="Wingdings"/>
    </w:rPr>
  </w:style>
  <w:style w:type="character" w:customStyle="1" w:styleId="36">
    <w:name w:val="WW8Num7z3"/>
    <w:qFormat/>
    <w:uiPriority w:val="0"/>
    <w:rPr>
      <w:rFonts w:ascii="Symbol" w:hAnsi="Symbol" w:cs="Symbol"/>
    </w:rPr>
  </w:style>
  <w:style w:type="character" w:customStyle="1" w:styleId="37">
    <w:name w:val="WW8Num8z0"/>
    <w:qFormat/>
    <w:uiPriority w:val="0"/>
    <w:rPr>
      <w:rFonts w:ascii="Symbol" w:hAnsi="Symbol" w:eastAsia="Times New Roman" w:cs="Times New Roman"/>
    </w:rPr>
  </w:style>
  <w:style w:type="character" w:customStyle="1" w:styleId="38">
    <w:name w:val="WW8Num8z1"/>
    <w:qFormat/>
    <w:uiPriority w:val="0"/>
    <w:rPr>
      <w:rFonts w:ascii="Courier New" w:hAnsi="Courier New" w:cs="Courier New"/>
    </w:rPr>
  </w:style>
  <w:style w:type="character" w:customStyle="1" w:styleId="39">
    <w:name w:val="WW8Num8z2"/>
    <w:qFormat/>
    <w:uiPriority w:val="0"/>
    <w:rPr>
      <w:rFonts w:ascii="Wingdings" w:hAnsi="Wingdings" w:cs="Wingdings"/>
    </w:rPr>
  </w:style>
  <w:style w:type="character" w:customStyle="1" w:styleId="40">
    <w:name w:val="WW8Num8z3"/>
    <w:qFormat/>
    <w:uiPriority w:val="0"/>
    <w:rPr>
      <w:rFonts w:ascii="Symbol" w:hAnsi="Symbol" w:cs="Symbol"/>
    </w:rPr>
  </w:style>
  <w:style w:type="character" w:customStyle="1" w:styleId="41">
    <w:name w:val="WW8Num9z0"/>
    <w:qFormat/>
    <w:uiPriority w:val="0"/>
  </w:style>
  <w:style w:type="character" w:customStyle="1" w:styleId="42">
    <w:name w:val="WW8Num10z0"/>
    <w:qFormat/>
    <w:uiPriority w:val="0"/>
  </w:style>
  <w:style w:type="character" w:customStyle="1" w:styleId="43">
    <w:name w:val="Header Char"/>
    <w:qFormat/>
    <w:uiPriority w:val="0"/>
    <w:rPr>
      <w:sz w:val="24"/>
      <w:szCs w:val="24"/>
    </w:rPr>
  </w:style>
  <w:style w:type="character" w:customStyle="1" w:styleId="44">
    <w:name w:val="Footer Char"/>
    <w:qFormat/>
    <w:uiPriority w:val="0"/>
    <w:rPr>
      <w:sz w:val="28"/>
      <w:szCs w:val="28"/>
    </w:rPr>
  </w:style>
  <w:style w:type="character" w:customStyle="1" w:styleId="45">
    <w:name w:val="Balloon Text Char"/>
    <w:qFormat/>
    <w:uiPriority w:val="0"/>
    <w:rPr>
      <w:rFonts w:ascii="Segoe UI" w:hAnsi="Segoe UI" w:cs="Segoe UI"/>
      <w:sz w:val="18"/>
      <w:szCs w:val="18"/>
    </w:rPr>
  </w:style>
  <w:style w:type="character" w:customStyle="1" w:styleId="46">
    <w:name w:val="Body text_"/>
    <w:qFormat/>
    <w:uiPriority w:val="0"/>
    <w:rPr>
      <w:sz w:val="25"/>
      <w:szCs w:val="25"/>
      <w:shd w:val="clear" w:color="auto" w:fill="FFFFFF"/>
    </w:rPr>
  </w:style>
  <w:style w:type="character" w:customStyle="1" w:styleId="47">
    <w:name w:val="Body Text Char"/>
    <w:qFormat/>
    <w:uiPriority w:val="0"/>
    <w:rPr>
      <w:rFonts w:ascii=".VnTime" w:hAnsi=".VnTime" w:cs=".VnTime"/>
      <w:sz w:val="28"/>
    </w:rPr>
  </w:style>
  <w:style w:type="character" w:customStyle="1" w:styleId="48">
    <w:name w:val="fontstyle01"/>
    <w:qFormat/>
    <w:uiPriority w:val="0"/>
    <w:rPr>
      <w:rFonts w:ascii="Times New Roman" w:hAnsi="Times New Roman" w:cs="Times New Roman"/>
      <w:color w:val="000000"/>
      <w:sz w:val="30"/>
      <w:szCs w:val="30"/>
    </w:rPr>
  </w:style>
  <w:style w:type="character" w:customStyle="1" w:styleId="49">
    <w:name w:val="fontstyle21"/>
    <w:qFormat/>
    <w:uiPriority w:val="0"/>
    <w:rPr>
      <w:rFonts w:ascii="Times New Roman" w:hAnsi="Times New Roman" w:cs="Times New Roman"/>
      <w:i/>
      <w:iCs/>
      <w:color w:val="000000"/>
      <w:sz w:val="30"/>
      <w:szCs w:val="30"/>
    </w:rPr>
  </w:style>
  <w:style w:type="character" w:customStyle="1" w:styleId="50">
    <w:name w:val="Body text (2)_"/>
    <w:qFormat/>
    <w:uiPriority w:val="0"/>
    <w:rPr>
      <w:color w:val="1E1E1E"/>
    </w:rPr>
  </w:style>
  <w:style w:type="character" w:customStyle="1" w:styleId="51">
    <w:name w:val="Body Text 2 Char"/>
    <w:qFormat/>
    <w:uiPriority w:val="0"/>
    <w:rPr>
      <w:sz w:val="28"/>
      <w:szCs w:val="24"/>
    </w:rPr>
  </w:style>
  <w:style w:type="paragraph" w:customStyle="1" w:styleId="52">
    <w:name w:val="Heading"/>
    <w:basedOn w:val="1"/>
    <w:next w:val="9"/>
    <w:qFormat/>
    <w:uiPriority w:val="0"/>
    <w:pPr>
      <w:keepNext/>
      <w:spacing w:before="240" w:after="120"/>
    </w:pPr>
    <w:rPr>
      <w:rFonts w:ascii="Liberation Sans" w:hAnsi="Liberation Sans" w:eastAsia="Noto Sans CJK SC" w:cs="Lohit Devanagari"/>
      <w:sz w:val="28"/>
      <w:szCs w:val="28"/>
    </w:rPr>
  </w:style>
  <w:style w:type="paragraph" w:customStyle="1" w:styleId="53">
    <w:name w:val="Index"/>
    <w:basedOn w:val="1"/>
    <w:qFormat/>
    <w:uiPriority w:val="0"/>
    <w:pPr>
      <w:suppressLineNumbers/>
    </w:pPr>
    <w:rPr>
      <w:rFonts w:cs="Lohit Devanagari"/>
    </w:rPr>
  </w:style>
  <w:style w:type="paragraph" w:customStyle="1" w:styleId="54">
    <w:name w:val="Header and Footer"/>
    <w:basedOn w:val="1"/>
    <w:qFormat/>
    <w:uiPriority w:val="0"/>
    <w:pPr>
      <w:suppressLineNumbers/>
      <w:tabs>
        <w:tab w:val="center" w:pos="4819"/>
        <w:tab w:val="right" w:pos="9638"/>
      </w:tabs>
    </w:pPr>
  </w:style>
  <w:style w:type="paragraph" w:customStyle="1" w:styleId="55">
    <w:name w:val="Char Char Char"/>
    <w:basedOn w:val="1"/>
    <w:next w:val="1"/>
    <w:qFormat/>
    <w:uiPriority w:val="0"/>
    <w:pPr>
      <w:spacing w:before="120" w:after="120" w:line="312" w:lineRule="auto"/>
    </w:pPr>
    <w:rPr>
      <w:sz w:val="28"/>
      <w:szCs w:val="28"/>
    </w:rPr>
  </w:style>
  <w:style w:type="paragraph" w:customStyle="1" w:styleId="56">
    <w:name w:val="Body Text1"/>
    <w:basedOn w:val="1"/>
    <w:qFormat/>
    <w:uiPriority w:val="0"/>
    <w:pPr>
      <w:widowControl w:val="0"/>
      <w:shd w:val="clear" w:color="auto" w:fill="FFFFFF"/>
      <w:spacing w:after="120" w:line="322" w:lineRule="exact"/>
      <w:ind w:hanging="640"/>
    </w:pPr>
    <w:rPr>
      <w:sz w:val="25"/>
      <w:szCs w:val="25"/>
    </w:rPr>
  </w:style>
  <w:style w:type="paragraph" w:customStyle="1" w:styleId="57">
    <w:name w:val="Body text (2)"/>
    <w:basedOn w:val="1"/>
    <w:qFormat/>
    <w:uiPriority w:val="0"/>
    <w:pPr>
      <w:widowControl w:val="0"/>
      <w:ind w:left="140" w:hanging="140"/>
    </w:pPr>
    <w:rPr>
      <w:color w:val="1E1E1E"/>
      <w:sz w:val="20"/>
      <w:szCs w:val="20"/>
      <w:lang w:val="en-GB"/>
    </w:rPr>
  </w:style>
  <w:style w:type="paragraph" w:customStyle="1" w:styleId="58">
    <w:name w:val="Char Char"/>
    <w:basedOn w:val="1"/>
    <w:qFormat/>
    <w:uiPriority w:val="0"/>
    <w:pPr>
      <w:pageBreakBefore/>
      <w:spacing w:before="280" w:after="280"/>
    </w:pPr>
    <w:rPr>
      <w:rFonts w:ascii="Tahoma" w:hAnsi="Tahoma" w:cs="Tahoma"/>
      <w:sz w:val="20"/>
      <w:szCs w:val="20"/>
    </w:rPr>
  </w:style>
  <w:style w:type="paragraph" w:styleId="59">
    <w:name w:val="List Paragraph"/>
    <w:basedOn w:val="1"/>
    <w:qFormat/>
    <w:uiPriority w:val="0"/>
    <w:pPr>
      <w:widowControl w:val="0"/>
      <w:autoSpaceDE w:val="0"/>
      <w:ind w:left="116" w:firstLine="711"/>
      <w:jc w:val="both"/>
    </w:pPr>
    <w:rPr>
      <w:sz w:val="22"/>
      <w:szCs w:val="22"/>
    </w:rPr>
  </w:style>
  <w:style w:type="paragraph" w:customStyle="1" w:styleId="60">
    <w:name w:val="isselectedend"/>
    <w:basedOn w:val="1"/>
    <w:qFormat/>
    <w:uiPriority w:val="0"/>
    <w:pPr>
      <w:spacing w:before="280" w:after="280"/>
    </w:pPr>
  </w:style>
  <w:style w:type="paragraph" w:customStyle="1" w:styleId="61">
    <w:name w:val="Table Contents"/>
    <w:basedOn w:val="1"/>
    <w:qFormat/>
    <w:uiPriority w:val="0"/>
    <w:pPr>
      <w:widowControl w:val="0"/>
      <w:suppressLineNumbers/>
    </w:pPr>
  </w:style>
  <w:style w:type="paragraph" w:customStyle="1" w:styleId="62">
    <w:name w:val="Table Heading"/>
    <w:basedOn w:val="61"/>
    <w:qFormat/>
    <w:uiPriority w:val="0"/>
    <w:pPr>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4426</Words>
  <Characters>16025</Characters>
  <Lines>145</Lines>
  <Paragraphs>40</Paragraphs>
  <TotalTime>1</TotalTime>
  <ScaleCrop>false</ScaleCrop>
  <LinksUpToDate>false</LinksUpToDate>
  <CharactersWithSpaces>20379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2026-10-03T13:34:00Z</dcterms:created>
  <dc:creator>GIANG TC</dc:creator>
  <cp:lastModifiedBy>user</cp:lastModifiedBy>
  <cp:lastPrinted>2022-10-14T15:16:00Z</cp:lastPrinted>
  <dcterms:modified xsi:type="dcterms:W3CDTF">2026-10-07T01:20:22Z</dcterms:modified>
  <dc:title>UBND TỈNH NINH BÌNH</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eyJoZGlkIjoiOWRkMDcxMGZmNDhiMGZmZmNmYjI1ZTMzOTIxNzQ3ZWIifQ==</vt:lpwstr>
  </property>
  <property fmtid="{D5CDD505-2E9C-101B-9397-08002B2CF9AE}" pid="3" name="KSOProductBuildVer">
    <vt:lpwstr>1033-12.1.0.26880</vt:lpwstr>
  </property>
  <property fmtid="{D5CDD505-2E9C-101B-9397-08002B2CF9AE}" pid="4" name="ICV">
    <vt:lpwstr>D1D3A9CD6F0F4DFA8267E68C504E78AA_13</vt:lpwstr>
  </property>
</Properties>
</file>