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0" w:type="auto"/>
        <w:tblInd w:w="0" w:type="dxa"/>
        <w:shd w:val="clear" w:color="auto" w:fill="FFFFFF"/>
        <w:tblLayout w:type="autofit"/>
        <w:tblCellMar>
          <w:top w:w="0" w:type="dxa"/>
          <w:left w:w="0" w:type="dxa"/>
          <w:bottom w:w="0" w:type="dxa"/>
          <w:right w:w="0" w:type="dxa"/>
        </w:tblCellMar>
      </w:tblPr>
      <w:tblGrid>
        <w:gridCol w:w="3344"/>
        <w:gridCol w:w="5728"/>
      </w:tblGrid>
      <w:tr w14:paraId="03DC7EEC">
        <w:tblPrEx>
          <w:tblCellMar>
            <w:top w:w="0" w:type="dxa"/>
            <w:left w:w="0" w:type="dxa"/>
            <w:bottom w:w="0" w:type="dxa"/>
            <w:right w:w="0" w:type="dxa"/>
          </w:tblCellMar>
        </w:tblPrEx>
        <w:tc>
          <w:tcPr>
            <w:tcW w:w="3344" w:type="dxa"/>
            <w:shd w:val="clear" w:color="auto" w:fill="FFFFFF"/>
            <w:tcMar>
              <w:top w:w="0" w:type="dxa"/>
              <w:left w:w="108" w:type="dxa"/>
              <w:bottom w:w="0" w:type="dxa"/>
              <w:right w:w="108" w:type="dxa"/>
            </w:tcMar>
          </w:tcPr>
          <w:p w14:paraId="7639954A">
            <w:pPr>
              <w:jc w:val="center"/>
              <w:rPr>
                <w:color w:val="000000" w:themeColor="text1"/>
                <w:sz w:val="26"/>
                <w:szCs w:val="26"/>
                <w14:textFill>
                  <w14:solidFill>
                    <w14:schemeClr w14:val="tx1"/>
                  </w14:solidFill>
                </w14:textFill>
              </w:rPr>
            </w:pPr>
            <w:r>
              <w:rPr>
                <w:b/>
                <w:bCs/>
                <w:color w:val="000000" w:themeColor="text1"/>
                <w:sz w:val="26"/>
                <w:szCs w:val="26"/>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407035</wp:posOffset>
                      </wp:positionV>
                      <wp:extent cx="571500" cy="0"/>
                      <wp:effectExtent l="0" t="0" r="0" b="0"/>
                      <wp:wrapNone/>
                      <wp:docPr id="3" name="Line 4"/>
                      <wp:cNvGraphicFramePr/>
                      <a:graphic xmlns:a="http://schemas.openxmlformats.org/drawingml/2006/main">
                        <a:graphicData uri="http://schemas.microsoft.com/office/word/2010/wordprocessingShape">
                          <wps:wsp>
                            <wps:cNvCnPr>
                              <a:cxnSpLocks noChangeShapeType="1"/>
                            </wps:cNvCnPr>
                            <wps:spPr bwMode="auto">
                              <a:xfrm>
                                <a:off x="0" y="0"/>
                                <a:ext cx="571680" cy="0"/>
                              </a:xfrm>
                              <a:prstGeom prst="line">
                                <a:avLst/>
                              </a:prstGeom>
                              <a:noFill/>
                              <a:ln w="9525">
                                <a:solidFill>
                                  <a:srgbClr val="000000"/>
                                </a:solidFill>
                                <a:round/>
                              </a:ln>
                            </wps:spPr>
                            <wps:bodyPr/>
                          </wps:wsp>
                        </a:graphicData>
                      </a:graphic>
                    </wp:anchor>
                  </w:drawing>
                </mc:Choice>
                <mc:Fallback>
                  <w:pict>
                    <v:line id="Line 4" o:spid="_x0000_s1026" o:spt="20" style="position:absolute;left:0pt;margin-top:32.05pt;height:0pt;width:45pt;mso-position-horizontal:center;z-index:251659264;mso-width-relative:page;mso-height-relative:page;" filled="f" stroked="t" coordsize="21600,21600" o:gfxdata="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OAjF+bSAAAABQEAAA8AAAAAAAAAAQAgAAAAIgAAAGRycy9kb3ducmV2&#10;LnhtbFBLAQIUABQAAAAIAIdO4kDePGPgyQEAAJ4DAAAOAAAAAAAAAAEAIAAAACEBAABkcnMvZTJv&#10;RG9jLnhtbFBLBQYAAAAABgAGAFkBAABcBQAAAAA=&#10;">
                      <v:fill on="f" focussize="0,0"/>
                      <v:stroke color="#000000" joinstyle="round"/>
                      <v:imagedata o:title=""/>
                      <o:lock v:ext="edit" aspectratio="f"/>
                    </v:line>
                  </w:pict>
                </mc:Fallback>
              </mc:AlternateContent>
            </w:r>
            <w:r>
              <w:rPr>
                <w:b/>
                <w:bCs/>
                <w:color w:val="000000" w:themeColor="text1"/>
                <w:sz w:val="26"/>
                <w:szCs w:val="26"/>
                <w14:textFill>
                  <w14:solidFill>
                    <w14:schemeClr w14:val="tx1"/>
                  </w14:solidFill>
                </w14:textFill>
              </w:rPr>
              <w:t>ỦY BAN NHÂN DÂN</w:t>
            </w:r>
            <w:r>
              <w:rPr>
                <w:b/>
                <w:bCs/>
                <w:color w:val="000000" w:themeColor="text1"/>
                <w:sz w:val="26"/>
                <w:szCs w:val="26"/>
                <w14:textFill>
                  <w14:solidFill>
                    <w14:schemeClr w14:val="tx1"/>
                  </w14:solidFill>
                </w14:textFill>
              </w:rPr>
              <w:br w:type="textWrapping"/>
            </w:r>
            <w:r>
              <w:rPr>
                <w:b/>
                <w:bCs/>
                <w:color w:val="000000" w:themeColor="text1"/>
                <w:sz w:val="26"/>
                <w:szCs w:val="26"/>
                <w14:textFill>
                  <w14:solidFill>
                    <w14:schemeClr w14:val="tx1"/>
                  </w14:solidFill>
                </w14:textFill>
              </w:rPr>
              <w:t>TỈNH HÀ TĨNH</w:t>
            </w:r>
          </w:p>
        </w:tc>
        <w:tc>
          <w:tcPr>
            <w:tcW w:w="5728" w:type="dxa"/>
            <w:shd w:val="clear" w:color="auto" w:fill="FFFFFF"/>
            <w:tcMar>
              <w:top w:w="0" w:type="dxa"/>
              <w:left w:w="108" w:type="dxa"/>
              <w:bottom w:w="0" w:type="dxa"/>
              <w:right w:w="108" w:type="dxa"/>
            </w:tcMar>
          </w:tcPr>
          <w:p w14:paraId="1A212030">
            <w:pPr>
              <w:spacing w:after="240"/>
              <w:jc w:val="center"/>
              <w:rPr>
                <w:color w:val="000000" w:themeColor="text1"/>
                <w:sz w:val="26"/>
                <w:szCs w:val="26"/>
                <w14:textFill>
                  <w14:solidFill>
                    <w14:schemeClr w14:val="tx1"/>
                  </w14:solidFill>
                </w14:textFill>
              </w:rPr>
            </w:pPr>
            <w:r>
              <w:rPr>
                <w:b/>
                <w:bCs/>
                <w:color w:val="000000" w:themeColor="text1"/>
                <w:sz w:val="26"/>
                <w:szCs w:val="26"/>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403860</wp:posOffset>
                      </wp:positionV>
                      <wp:extent cx="2190750" cy="0"/>
                      <wp:effectExtent l="0" t="0" r="0" b="0"/>
                      <wp:wrapNone/>
                      <wp:docPr id="2" name="Line 5"/>
                      <wp:cNvGraphicFramePr/>
                      <a:graphic xmlns:a="http://schemas.openxmlformats.org/drawingml/2006/main">
                        <a:graphicData uri="http://schemas.microsoft.com/office/word/2010/wordprocessingShape">
                          <wps:wsp>
                            <wps:cNvCnPr>
                              <a:cxnSpLocks noChangeShapeType="1"/>
                            </wps:cNvCnPr>
                            <wps:spPr bwMode="auto">
                              <a:xfrm>
                                <a:off x="0" y="0"/>
                                <a:ext cx="2190600" cy="0"/>
                              </a:xfrm>
                              <a:prstGeom prst="line">
                                <a:avLst/>
                              </a:prstGeom>
                              <a:noFill/>
                              <a:ln w="9525">
                                <a:solidFill>
                                  <a:srgbClr val="000000"/>
                                </a:solidFill>
                                <a:round/>
                              </a:ln>
                            </wps:spPr>
                            <wps:bodyPr/>
                          </wps:wsp>
                        </a:graphicData>
                      </a:graphic>
                    </wp:anchor>
                  </w:drawing>
                </mc:Choice>
                <mc:Fallback>
                  <w:pict>
                    <v:line id="Line 5" o:spid="_x0000_s1026" o:spt="20" style="position:absolute;left:0pt;margin-top:31.8pt;height:0pt;width:172.5pt;mso-position-horizontal:center;z-index:251660288;mso-width-relative:page;mso-height-relative:page;" filled="f" stroked="t" coordsize="21600,21600" o:gfxdata="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847f20wAAAAYBAAAPAAAAAAAAAAEAIAAAACIAAABkcnMvZG93bnJl&#10;di54bWxQSwECFAAUAAAACACHTuJAKmSc08kBAACfAwAADgAAAAAAAAABACAAAAAiAQAAZHJzL2Uy&#10;b0RvYy54bWxQSwUGAAAAAAYABgBZAQAAXQUAAAAA&#10;">
                      <v:fill on="f" focussize="0,0"/>
                      <v:stroke color="#000000" joinstyle="round"/>
                      <v:imagedata o:title=""/>
                      <o:lock v:ext="edit" aspectratio="f"/>
                    </v:line>
                  </w:pict>
                </mc:Fallback>
              </mc:AlternateContent>
            </w:r>
            <w:r>
              <w:rPr>
                <w:b/>
                <w:bCs/>
                <w:color w:val="000000" w:themeColor="text1"/>
                <w:sz w:val="26"/>
                <w:szCs w:val="26"/>
                <w14:textFill>
                  <w14:solidFill>
                    <w14:schemeClr w14:val="tx1"/>
                  </w14:solidFill>
                </w14:textFill>
              </w:rPr>
              <w:t>CỘNG HÒA XÃ HỘI CHỦ NGHĨA VIỆT NAM</w:t>
            </w:r>
            <w:r>
              <w:rPr>
                <w:b/>
                <w:bCs/>
                <w:color w:val="000000" w:themeColor="text1"/>
                <w:sz w:val="26"/>
                <w:szCs w:val="26"/>
                <w14:textFill>
                  <w14:solidFill>
                    <w14:schemeClr w14:val="tx1"/>
                  </w14:solidFill>
                </w14:textFill>
              </w:rPr>
              <w:br w:type="textWrapping"/>
            </w:r>
            <w:r>
              <w:rPr>
                <w:b/>
                <w:bCs/>
                <w:color w:val="000000" w:themeColor="text1"/>
                <w14:textFill>
                  <w14:solidFill>
                    <w14:schemeClr w14:val="tx1"/>
                  </w14:solidFill>
                </w14:textFill>
              </w:rPr>
              <w:t>Độc lập - Tự do - Hạnh phúc</w:t>
            </w:r>
          </w:p>
        </w:tc>
      </w:tr>
      <w:tr w14:paraId="2E5793F3">
        <w:tblPrEx>
          <w:shd w:val="clear" w:color="auto" w:fill="FFFFFF"/>
          <w:tblCellMar>
            <w:top w:w="0" w:type="dxa"/>
            <w:left w:w="0" w:type="dxa"/>
            <w:bottom w:w="0" w:type="dxa"/>
            <w:right w:w="0" w:type="dxa"/>
          </w:tblCellMar>
        </w:tblPrEx>
        <w:tc>
          <w:tcPr>
            <w:tcW w:w="3344" w:type="dxa"/>
            <w:shd w:val="clear" w:color="auto" w:fill="FFFFFF"/>
            <w:tcMar>
              <w:top w:w="0" w:type="dxa"/>
              <w:left w:w="108" w:type="dxa"/>
              <w:bottom w:w="0" w:type="dxa"/>
              <w:right w:w="108" w:type="dxa"/>
            </w:tcMar>
          </w:tcPr>
          <w:p w14:paraId="3CFDE107">
            <w:pPr>
              <w:jc w:val="center"/>
              <w:rPr>
                <w:color w:val="000000" w:themeColor="text1"/>
                <w:sz w:val="26"/>
                <w:szCs w:val="26"/>
                <w14:textFill>
                  <w14:solidFill>
                    <w14:schemeClr w14:val="tx1"/>
                  </w14:solidFill>
                </w14:textFill>
              </w:rPr>
            </w:pPr>
            <w:r>
              <w:rPr>
                <w:color w:val="000000" w:themeColor="text1"/>
                <w:sz w:val="26"/>
                <w:szCs w:val="26"/>
                <w14:textFill>
                  <w14:solidFill>
                    <w14:schemeClr w14:val="tx1"/>
                  </w14:solidFill>
                </w14:textFill>
              </w:rPr>
              <w:t>Số:            /2026/QĐ-UBND</w:t>
            </w:r>
          </w:p>
        </w:tc>
        <w:tc>
          <w:tcPr>
            <w:tcW w:w="5728" w:type="dxa"/>
            <w:shd w:val="clear" w:color="auto" w:fill="FFFFFF"/>
            <w:tcMar>
              <w:top w:w="0" w:type="dxa"/>
              <w:left w:w="108" w:type="dxa"/>
              <w:bottom w:w="0" w:type="dxa"/>
              <w:right w:w="108" w:type="dxa"/>
            </w:tcMar>
          </w:tcPr>
          <w:p w14:paraId="72AE9358">
            <w:pPr>
              <w:jc w:val="center"/>
              <w:rPr>
                <w:color w:val="000000" w:themeColor="text1"/>
                <w:sz w:val="26"/>
                <w:szCs w:val="26"/>
                <w14:textFill>
                  <w14:solidFill>
                    <w14:schemeClr w14:val="tx1"/>
                  </w14:solidFill>
                </w14:textFill>
              </w:rPr>
            </w:pPr>
            <w:r>
              <w:rPr>
                <w:i/>
                <w:iCs/>
                <w:color w:val="000000" w:themeColor="text1"/>
                <w:sz w:val="26"/>
                <w:szCs w:val="26"/>
                <w14:textFill>
                  <w14:solidFill>
                    <w14:schemeClr w14:val="tx1"/>
                  </w14:solidFill>
                </w14:textFill>
              </w:rPr>
              <w:t>Hà Tĩnh, ngày       tháng       năm 2026</w:t>
            </w:r>
          </w:p>
        </w:tc>
      </w:tr>
    </w:tbl>
    <w:p w14:paraId="133EC314">
      <w:pPr>
        <w:spacing w:before="120" w:after="100" w:afterAutospacing="1"/>
      </w:pPr>
      <w:r>
        <w:rPr>
          <w:b/>
          <w:bCs/>
          <w:color w:val="000000" w:themeColor="text1"/>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550545</wp:posOffset>
                </wp:positionH>
                <wp:positionV relativeFrom="paragraph">
                  <wp:posOffset>88900</wp:posOffset>
                </wp:positionV>
                <wp:extent cx="937260" cy="342900"/>
                <wp:effectExtent l="0" t="0" r="15240" b="19050"/>
                <wp:wrapNone/>
                <wp:docPr id="4" name="Text Box 4"/>
                <wp:cNvGraphicFramePr/>
                <a:graphic xmlns:a="http://schemas.openxmlformats.org/drawingml/2006/main">
                  <a:graphicData uri="http://schemas.microsoft.com/office/word/2010/wordprocessingShape">
                    <wps:wsp>
                      <wps:cNvSpPr txBox="1"/>
                      <wps:spPr>
                        <a:xfrm>
                          <a:off x="0" y="0"/>
                          <a:ext cx="937260" cy="342900"/>
                        </a:xfrm>
                        <a:prstGeom prst="rect">
                          <a:avLst/>
                        </a:prstGeom>
                        <a:solidFill>
                          <a:schemeClr val="lt1"/>
                        </a:solidFill>
                        <a:ln w="6350">
                          <a:solidFill>
                            <a:prstClr val="black"/>
                          </a:solidFill>
                        </a:ln>
                      </wps:spPr>
                      <wps:txbx>
                        <w:txbxContent>
                          <w:p w14:paraId="19F14256">
                            <w:pPr>
                              <w:jc w:val="center"/>
                              <w:rPr>
                                <w:b/>
                              </w:rPr>
                            </w:pPr>
                            <w:r>
                              <w:rPr>
                                <w:b/>
                              </w:rPr>
                              <w:t>DỰ THẢO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5pt;margin-top:7pt;height:27pt;width:73.8pt;z-index:251661312;mso-width-relative:page;mso-height-relative:page;" fillcolor="#FFFFFF [3201]" filled="t" stroked="t" coordsize="21600,21600" o:gfxdata="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rcrcatUAAAAIAQAADwAAAAAAAAABACAA&#10;AAAiAAAAZHJzL2Rvd25yZXYueG1sUEsBAhQAFAAAAAgAh07iQHdhoU5JAgAAtQQAAA4AAAAAAAAA&#10;AQAgAAAAJAEAAGRycy9lMm9Eb2MueG1sUEsFBgAAAAAGAAYAWQEAAN8FAAAAAA==&#10;">
                <v:fill on="t" focussize="0,0"/>
                <v:stroke weight="0.5pt" color="#000000" joinstyle="round"/>
                <v:imagedata o:title=""/>
                <o:lock v:ext="edit" aspectratio="f"/>
                <v:textbox>
                  <w:txbxContent>
                    <w:p w14:paraId="19F14256">
                      <w:pPr>
                        <w:jc w:val="center"/>
                        <w:rPr>
                          <w:b/>
                        </w:rPr>
                      </w:pPr>
                      <w:r>
                        <w:rPr>
                          <w:b/>
                        </w:rPr>
                        <w:t>DỰ THẢO</w:t>
                      </w:r>
                    </w:p>
                  </w:txbxContent>
                </v:textbox>
              </v:shape>
            </w:pict>
          </mc:Fallback>
        </mc:AlternateContent>
      </w:r>
      <w:r>
        <w:rPr>
          <w:b/>
          <w:bCs/>
          <w:lang w:val="vi-VN"/>
        </w:rPr>
        <w:t xml:space="preserve">                 </w:t>
      </w:r>
    </w:p>
    <w:p w14:paraId="69CE9487">
      <w:pPr>
        <w:spacing w:before="120"/>
        <w:jc w:val="center"/>
        <w:rPr>
          <w:sz w:val="26"/>
          <w:szCs w:val="26"/>
        </w:rPr>
      </w:pPr>
      <w:bookmarkStart w:id="0" w:name="loai_1"/>
      <w:r>
        <w:rPr>
          <w:b/>
          <w:bCs/>
          <w:sz w:val="26"/>
          <w:szCs w:val="26"/>
        </w:rPr>
        <w:t>QUYẾT ĐỊNH</w:t>
      </w:r>
      <w:bookmarkEnd w:id="0"/>
    </w:p>
    <w:p w14:paraId="1B572F34">
      <w:pPr>
        <w:spacing w:after="100" w:afterAutospacing="1"/>
        <w:jc w:val="center"/>
        <w:rPr>
          <w:b/>
          <w:bCs/>
          <w:sz w:val="28"/>
          <w:szCs w:val="28"/>
          <w:lang w:val="vi-VN"/>
        </w:rPr>
      </w:pPr>
      <w:bookmarkStart w:id="1" w:name="loai_1_name"/>
      <w:r>
        <w:rPr>
          <w:b/>
          <w:bCs/>
          <w:sz w:val="28"/>
          <w:szCs w:val="28"/>
        </w:rPr>
        <w:t xml:space="preserve">Sửa đổi, bổ sung một số điều của </w:t>
      </w:r>
      <w:bookmarkEnd w:id="1"/>
      <w:r>
        <w:rPr>
          <w:b/>
          <w:bCs/>
          <w:sz w:val="28"/>
          <w:szCs w:val="28"/>
          <w:lang w:val="vi-VN"/>
        </w:rPr>
        <w:t xml:space="preserve">Quyết định số 98/2025/QĐ-UBND </w:t>
      </w:r>
      <w:r>
        <w:rPr>
          <w:b/>
          <w:bCs/>
          <w:spacing w:val="-2"/>
          <w:sz w:val="28"/>
          <w:szCs w:val="28"/>
          <w:lang w:val="vi-VN"/>
        </w:rPr>
        <w:t xml:space="preserve">ngày 22 </w:t>
      </w:r>
      <w:bookmarkStart w:id="8" w:name="_GoBack"/>
      <w:bookmarkEnd w:id="8"/>
      <w:r>
        <w:rPr>
          <w:b/>
          <w:bCs/>
          <w:spacing w:val="-2"/>
          <w:sz w:val="28"/>
          <w:szCs w:val="28"/>
          <w:lang w:val="vi-VN"/>
        </w:rPr>
        <w:t>tháng 12 năm 2025 của UBND tỉnh phân cấp thẩm quyền quyết định tiêu chuẩn,</w:t>
      </w:r>
      <w:r>
        <w:rPr>
          <w:b/>
          <w:bCs/>
          <w:sz w:val="28"/>
          <w:szCs w:val="28"/>
          <w:lang w:val="vi-VN"/>
        </w:rPr>
        <w:t xml:space="preserve"> </w:t>
      </w:r>
      <w:r>
        <w:rPr>
          <w:b/>
          <w:bCs/>
          <w:spacing w:val="-4"/>
          <w:sz w:val="28"/>
          <w:szCs w:val="28"/>
          <w:lang w:val="vi-VN"/>
        </w:rPr>
        <w:t xml:space="preserve">định mức sử dụng máy móc, thiết bị đối với các </w:t>
      </w:r>
      <w:r>
        <w:rPr>
          <w:b/>
          <w:bCs/>
          <w:sz w:val="28"/>
          <w:szCs w:val="28"/>
          <w:lang w:val="vi-VN"/>
        </w:rPr>
        <w:t>cơ quan, tổ chức, đơn vị thuộc phạm vi quản lý của tỉnh Hà Tĩnh</w:t>
      </w:r>
    </w:p>
    <w:p w14:paraId="670D894F">
      <w:pPr>
        <w:spacing w:before="120" w:after="120"/>
        <w:ind w:firstLine="720"/>
        <w:jc w:val="both"/>
        <w:rPr>
          <w:i/>
          <w:iCs/>
          <w:sz w:val="28"/>
          <w:szCs w:val="28"/>
        </w:rPr>
      </w:pPr>
      <w:r>
        <w:rPr>
          <w:i/>
          <w:iCs/>
          <w:sz w:val="28"/>
          <w:szCs w:val="28"/>
        </w:rPr>
        <w:t>Căn cứ Luật Tổ chức chính quyền địa phương số 72/2025/QH15;</w:t>
      </w:r>
    </w:p>
    <w:p w14:paraId="0D597983">
      <w:pPr>
        <w:spacing w:before="120" w:after="120"/>
        <w:ind w:firstLine="720"/>
        <w:jc w:val="both"/>
        <w:rPr>
          <w:sz w:val="28"/>
          <w:szCs w:val="28"/>
        </w:rPr>
      </w:pPr>
      <w:r>
        <w:rPr>
          <w:i/>
          <w:iCs/>
          <w:sz w:val="28"/>
          <w:szCs w:val="28"/>
        </w:rPr>
        <w:t>Căn cứ Luật Ban hành văn bản quy phạm pháp luật số 64/2025/QH15 được sửa đổi, bổ sung bởi Luật số 87/2025/QH15;</w:t>
      </w:r>
    </w:p>
    <w:p w14:paraId="3C9759F3">
      <w:pPr>
        <w:spacing w:before="120" w:after="120"/>
        <w:ind w:firstLine="720"/>
        <w:jc w:val="both"/>
        <w:rPr>
          <w:i/>
          <w:iCs/>
          <w:sz w:val="28"/>
          <w:szCs w:val="28"/>
        </w:rPr>
      </w:pPr>
      <w:r>
        <w:rPr>
          <w:i/>
          <w:iCs/>
          <w:sz w:val="28"/>
          <w:szCs w:val="28"/>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14:paraId="1A968652">
      <w:pPr>
        <w:spacing w:before="120" w:after="120"/>
        <w:ind w:firstLine="720"/>
        <w:jc w:val="both"/>
        <w:rPr>
          <w:i/>
          <w:iCs/>
          <w:sz w:val="28"/>
          <w:szCs w:val="28"/>
        </w:rPr>
      </w:pPr>
      <w:r>
        <w:rPr>
          <w:i/>
          <w:iCs/>
          <w:sz w:val="28"/>
          <w:szCs w:val="28"/>
        </w:rPr>
        <w:t>Căn cứ Quyết định số 15/2025/QĐ-TTg ngày 14 tháng 6 năm 2025 của Thủ tướng Chính phủ quy định tiêu chuẩn, định mức sử dụng máy móc, thiết bị, được sửa đổi, bổ sung bởi Quyết định số 10/2026/QĐ-TTg ngày 09 tháng 3 năm 2026 của Thủ tướng Chính phủ;</w:t>
      </w:r>
    </w:p>
    <w:p w14:paraId="44DFCD1E">
      <w:pPr>
        <w:spacing w:before="120" w:after="120"/>
        <w:ind w:firstLine="720"/>
        <w:jc w:val="both"/>
        <w:rPr>
          <w:i/>
          <w:iCs/>
          <w:color w:val="000000"/>
          <w:sz w:val="28"/>
          <w:szCs w:val="28"/>
        </w:rPr>
      </w:pPr>
      <w:r>
        <w:rPr>
          <w:i/>
          <w:iCs/>
          <w:color w:val="000000"/>
          <w:sz w:val="28"/>
          <w:szCs w:val="28"/>
        </w:rPr>
        <w:t>Theo đề nghị của Giám đốc Sở Tài chính tại Tờ trình số       /TTr-STC ngày   /</w:t>
      </w:r>
      <w:r>
        <w:rPr>
          <w:i/>
          <w:iCs/>
          <w:color w:val="000000"/>
          <w:sz w:val="28"/>
          <w:szCs w:val="28"/>
          <w:lang w:val="vi-VN"/>
        </w:rPr>
        <w:t xml:space="preserve">   </w:t>
      </w:r>
      <w:r>
        <w:rPr>
          <w:i/>
          <w:iCs/>
          <w:color w:val="000000"/>
          <w:sz w:val="28"/>
          <w:szCs w:val="28"/>
        </w:rPr>
        <w:t xml:space="preserve">/2026 (kèm Báo cáo thẩm định số </w:t>
      </w:r>
      <w:r>
        <w:rPr>
          <w:i/>
          <w:iCs/>
          <w:color w:val="000000"/>
          <w:sz w:val="28"/>
          <w:szCs w:val="28"/>
          <w:lang w:val="vi-VN"/>
        </w:rPr>
        <w:t xml:space="preserve">    </w:t>
      </w:r>
      <w:r>
        <w:rPr>
          <w:i/>
          <w:iCs/>
          <w:color w:val="000000"/>
          <w:sz w:val="28"/>
          <w:szCs w:val="28"/>
        </w:rPr>
        <w:t xml:space="preserve">/BC-STP ngày </w:t>
      </w:r>
      <w:r>
        <w:rPr>
          <w:i/>
          <w:iCs/>
          <w:color w:val="000000"/>
          <w:sz w:val="28"/>
          <w:szCs w:val="28"/>
          <w:lang w:val="vi-VN"/>
        </w:rPr>
        <w:t xml:space="preserve">   </w:t>
      </w:r>
      <w:r>
        <w:rPr>
          <w:i/>
          <w:iCs/>
          <w:color w:val="000000"/>
          <w:sz w:val="28"/>
          <w:szCs w:val="28"/>
        </w:rPr>
        <w:t>/</w:t>
      </w:r>
      <w:r>
        <w:rPr>
          <w:i/>
          <w:iCs/>
          <w:color w:val="000000"/>
          <w:sz w:val="28"/>
          <w:szCs w:val="28"/>
          <w:lang w:val="vi-VN"/>
        </w:rPr>
        <w:t xml:space="preserve">    </w:t>
      </w:r>
      <w:r>
        <w:rPr>
          <w:i/>
          <w:iCs/>
          <w:color w:val="000000"/>
          <w:sz w:val="28"/>
          <w:szCs w:val="28"/>
        </w:rPr>
        <w:t xml:space="preserve">/2026 của Sở Tư pháp); ý kiến thống nhất của các thành viên UBND tỉnh tại phiên họp ngày /   /2026 (tại Thông báo số       /TB-UBND ngày       /      /2026 của UBND tỉnh); </w:t>
      </w:r>
    </w:p>
    <w:p w14:paraId="4A3460EB">
      <w:pPr>
        <w:spacing w:before="120" w:after="120"/>
        <w:ind w:firstLine="720"/>
        <w:jc w:val="both"/>
        <w:rPr>
          <w:sz w:val="28"/>
          <w:szCs w:val="28"/>
          <w:lang w:val="vi-VN"/>
        </w:rPr>
      </w:pPr>
      <w:r>
        <w:rPr>
          <w:i/>
          <w:iCs/>
          <w:sz w:val="28"/>
          <w:szCs w:val="28"/>
        </w:rPr>
        <w:t>Ủy ban nhân dân tỉnh ban hành Quyết định sửa đổi, bổ sung một số điều</w:t>
      </w:r>
      <w:r>
        <w:rPr>
          <w:i/>
          <w:iCs/>
          <w:sz w:val="28"/>
          <w:szCs w:val="28"/>
          <w:lang w:val="vi-VN"/>
        </w:rPr>
        <w:t xml:space="preserve"> </w:t>
      </w:r>
      <w:r>
        <w:rPr>
          <w:i/>
          <w:iCs/>
          <w:sz w:val="28"/>
          <w:szCs w:val="28"/>
        </w:rPr>
        <w:t xml:space="preserve">của Quyết định số </w:t>
      </w:r>
      <w:r>
        <w:rPr>
          <w:i/>
          <w:iCs/>
          <w:sz w:val="28"/>
          <w:szCs w:val="28"/>
          <w:lang w:val="vi-VN"/>
        </w:rPr>
        <w:t>98</w:t>
      </w:r>
      <w:r>
        <w:rPr>
          <w:i/>
          <w:iCs/>
          <w:sz w:val="28"/>
          <w:szCs w:val="28"/>
        </w:rPr>
        <w:t xml:space="preserve">/2025/QĐ-UBND ngày </w:t>
      </w:r>
      <w:r>
        <w:rPr>
          <w:i/>
          <w:iCs/>
          <w:sz w:val="28"/>
          <w:szCs w:val="28"/>
          <w:lang w:val="vi-VN"/>
        </w:rPr>
        <w:t>22</w:t>
      </w:r>
      <w:r>
        <w:rPr>
          <w:i/>
          <w:iCs/>
          <w:sz w:val="28"/>
          <w:szCs w:val="28"/>
        </w:rPr>
        <w:t xml:space="preserve"> tháng 12 năm 2025 của UBND tỉnh phân cấp thẩm quyền quyết định tiêu chuẩn, định mức sử dụng máy móc, thiết bị </w:t>
      </w:r>
      <w:r>
        <w:rPr>
          <w:i/>
          <w:iCs/>
          <w:sz w:val="28"/>
          <w:szCs w:val="28"/>
          <w:lang w:val="vi-VN"/>
        </w:rPr>
        <w:t xml:space="preserve">đối với </w:t>
      </w:r>
      <w:r>
        <w:rPr>
          <w:i/>
          <w:iCs/>
          <w:sz w:val="28"/>
          <w:szCs w:val="28"/>
        </w:rPr>
        <w:t xml:space="preserve">các cơ quan, tổ chức, đơn vị thuộc phạm vi quản lý của tỉnh </w:t>
      </w:r>
      <w:r>
        <w:rPr>
          <w:i/>
          <w:iCs/>
          <w:sz w:val="28"/>
          <w:szCs w:val="28"/>
          <w:lang w:val="vi-VN"/>
        </w:rPr>
        <w:t>Hà Tĩnh.</w:t>
      </w:r>
    </w:p>
    <w:p w14:paraId="0C3BFE70">
      <w:pPr>
        <w:spacing w:before="120" w:after="120"/>
        <w:ind w:firstLine="720"/>
        <w:jc w:val="both"/>
        <w:rPr>
          <w:b/>
          <w:bCs/>
          <w:sz w:val="28"/>
          <w:szCs w:val="28"/>
          <w:lang w:val="vi-VN"/>
        </w:rPr>
      </w:pPr>
      <w:bookmarkStart w:id="2" w:name="dieu_1"/>
      <w:r>
        <w:rPr>
          <w:b/>
          <w:bCs/>
          <w:sz w:val="28"/>
          <w:szCs w:val="28"/>
        </w:rPr>
        <w:t xml:space="preserve">Điều 1. </w:t>
      </w:r>
      <w:bookmarkEnd w:id="2"/>
      <w:r>
        <w:rPr>
          <w:b/>
          <w:bCs/>
          <w:sz w:val="28"/>
          <w:szCs w:val="28"/>
        </w:rPr>
        <w:t>Sửa đổi, bổ sung</w:t>
      </w:r>
      <w:r>
        <w:rPr>
          <w:b/>
          <w:bCs/>
          <w:color w:val="EE0000"/>
          <w:sz w:val="28"/>
          <w:szCs w:val="28"/>
        </w:rPr>
        <w:t xml:space="preserve"> </w:t>
      </w:r>
      <w:r>
        <w:rPr>
          <w:b/>
          <w:bCs/>
          <w:sz w:val="28"/>
          <w:szCs w:val="28"/>
        </w:rPr>
        <w:t xml:space="preserve">một số điều của Quyết định số 98/2025/QĐ-UBND ngày 22 tháng 12 năm 2025 của UBND tỉnh phân cấp thẩm quyền quyết định tiêu chuẩn, định mức sử dụng máy móc, thiết bị </w:t>
      </w:r>
      <w:r>
        <w:rPr>
          <w:b/>
          <w:bCs/>
          <w:sz w:val="28"/>
          <w:szCs w:val="28"/>
          <w:lang w:val="vi-VN"/>
        </w:rPr>
        <w:t xml:space="preserve">đối với </w:t>
      </w:r>
      <w:r>
        <w:rPr>
          <w:b/>
          <w:bCs/>
          <w:sz w:val="28"/>
          <w:szCs w:val="28"/>
        </w:rPr>
        <w:t xml:space="preserve">các cơ quan, tổ chức, đơn vị thuộc phạm vi quản lý của tỉnh </w:t>
      </w:r>
      <w:r>
        <w:rPr>
          <w:b/>
          <w:bCs/>
          <w:sz w:val="28"/>
          <w:szCs w:val="28"/>
          <w:lang w:val="vi-VN"/>
        </w:rPr>
        <w:t>Hà Tĩnh.</w:t>
      </w:r>
    </w:p>
    <w:p w14:paraId="3729A5BE">
      <w:pPr>
        <w:spacing w:before="120" w:after="120"/>
        <w:ind w:firstLine="720"/>
        <w:jc w:val="both"/>
        <w:rPr>
          <w:sz w:val="28"/>
          <w:szCs w:val="28"/>
          <w:lang w:val="vi-VN"/>
        </w:rPr>
      </w:pPr>
      <w:r>
        <w:rPr>
          <w:sz w:val="28"/>
          <w:szCs w:val="28"/>
        </w:rPr>
        <w:t xml:space="preserve">1. </w:t>
      </w:r>
      <w:r>
        <w:rPr>
          <w:sz w:val="28"/>
          <w:szCs w:val="28"/>
          <w:lang w:val="vi-VN"/>
        </w:rPr>
        <w:t xml:space="preserve">Bổ sung điểm đ, điểm e vào sau điểm d khoản 1 Điều 1 như sau: </w:t>
      </w:r>
    </w:p>
    <w:p w14:paraId="38ECD879">
      <w:pPr>
        <w:spacing w:before="120" w:after="120"/>
        <w:ind w:firstLine="720"/>
        <w:jc w:val="both"/>
        <w:rPr>
          <w:sz w:val="28"/>
          <w:szCs w:val="28"/>
        </w:rPr>
      </w:pPr>
      <w:r>
        <w:rPr>
          <w:sz w:val="28"/>
          <w:szCs w:val="28"/>
        </w:rPr>
        <w:t xml:space="preserve"> “</w:t>
      </w:r>
      <w:r>
        <w:rPr>
          <w:sz w:val="28"/>
          <w:szCs w:val="28"/>
          <w:lang w:val="vi-VN"/>
        </w:rPr>
        <w:t>đ</w:t>
      </w:r>
      <w:r>
        <w:rPr>
          <w:sz w:val="28"/>
          <w:szCs w:val="28"/>
        </w:rPr>
        <w:t xml:space="preserve">) </w:t>
      </w:r>
      <w:r>
        <w:rPr>
          <w:sz w:val="28"/>
          <w:szCs w:val="28"/>
          <w:lang w:val="vi-VN"/>
        </w:rPr>
        <w:t xml:space="preserve">Thẩm quyền quyết định tiêu chuẩn, định mức sử dụng </w:t>
      </w:r>
      <w:r>
        <w:rPr>
          <w:sz w:val="28"/>
          <w:szCs w:val="28"/>
        </w:rPr>
        <w:t>máy móc, thiết bị đầu cuối cơ bản phục vụ công việc thường xuyên trên môi trường số quy định tại Mục C Phụ lục</w:t>
      </w:r>
      <w:r>
        <w:rPr>
          <w:sz w:val="28"/>
          <w:szCs w:val="28"/>
          <w:lang w:val="vi-VN"/>
        </w:rPr>
        <w:t xml:space="preserve"> </w:t>
      </w:r>
      <w:r>
        <w:rPr>
          <w:sz w:val="28"/>
          <w:szCs w:val="28"/>
        </w:rPr>
        <w:t xml:space="preserve">ban hành kèm theo Quyết định số 10/2026/QĐ-TTg </w:t>
      </w:r>
      <w:r>
        <w:rPr>
          <w:sz w:val="28"/>
          <w:szCs w:val="28"/>
          <w:lang w:val="vi-VN"/>
        </w:rPr>
        <w:t>theo quy định tại khoản 4 Điều 3 Quyết định số 15/2025/QĐ-TTg, được sửa đổi, bổ sung bởi Quyết định số 10/2026/QĐ-TTg</w:t>
      </w:r>
      <w:r>
        <w:rPr>
          <w:sz w:val="28"/>
          <w:szCs w:val="28"/>
        </w:rPr>
        <w:t>;</w:t>
      </w:r>
    </w:p>
    <w:p w14:paraId="26F94570">
      <w:pPr>
        <w:spacing w:before="120" w:after="120"/>
        <w:ind w:firstLine="720"/>
        <w:jc w:val="both"/>
        <w:rPr>
          <w:sz w:val="28"/>
          <w:szCs w:val="28"/>
        </w:rPr>
      </w:pPr>
      <w:r>
        <w:rPr>
          <w:sz w:val="28"/>
          <w:szCs w:val="28"/>
          <w:lang w:val="vi-VN"/>
        </w:rPr>
        <w:t>e</w:t>
      </w:r>
      <w:r>
        <w:rPr>
          <w:sz w:val="28"/>
          <w:szCs w:val="28"/>
        </w:rPr>
        <w:t xml:space="preserve">) </w:t>
      </w:r>
      <w:r>
        <w:rPr>
          <w:sz w:val="28"/>
          <w:szCs w:val="28"/>
          <w:lang w:val="vi-VN"/>
        </w:rPr>
        <w:t xml:space="preserve">Thẩm quyền quyết định tiêu chuẩn, định mức sử dụng </w:t>
      </w:r>
      <w:r>
        <w:rPr>
          <w:sz w:val="28"/>
          <w:szCs w:val="28"/>
        </w:rPr>
        <w:t xml:space="preserve">máy móc, thiết bị phục vụ công tác bí mật nhà nước </w:t>
      </w:r>
      <w:r>
        <w:rPr>
          <w:sz w:val="28"/>
          <w:szCs w:val="28"/>
          <w:lang w:val="vi-VN"/>
        </w:rPr>
        <w:t xml:space="preserve">trên môi trường số </w:t>
      </w:r>
      <w:r>
        <w:rPr>
          <w:sz w:val="28"/>
          <w:szCs w:val="28"/>
        </w:rPr>
        <w:t>quy định tại Mục D Phụ lục</w:t>
      </w:r>
      <w:r>
        <w:rPr>
          <w:sz w:val="28"/>
          <w:szCs w:val="28"/>
          <w:lang w:val="vi-VN"/>
        </w:rPr>
        <w:t xml:space="preserve"> </w:t>
      </w:r>
      <w:r>
        <w:rPr>
          <w:sz w:val="28"/>
          <w:szCs w:val="28"/>
        </w:rPr>
        <w:t>ban hành kèm theo Quyết định số 10/2026/QĐ-TTg</w:t>
      </w:r>
      <w:r>
        <w:rPr>
          <w:sz w:val="28"/>
          <w:szCs w:val="28"/>
          <w:lang w:val="vi-VN"/>
        </w:rPr>
        <w:t xml:space="preserve"> theo quy định tại khoản 1, khoản 2, khoản 3 Điều 5a Quyết định số 15/2025/QĐ-TTg, được sửa đổi, bổ sung bởi Quyết định số 10/2026/QĐ-TTg.</w:t>
      </w:r>
      <w:r>
        <w:rPr>
          <w:sz w:val="28"/>
          <w:szCs w:val="28"/>
        </w:rPr>
        <w:t xml:space="preserve">” </w:t>
      </w:r>
    </w:p>
    <w:p w14:paraId="5C8937B5">
      <w:pPr>
        <w:spacing w:before="120" w:after="120"/>
        <w:ind w:firstLine="720"/>
        <w:jc w:val="both"/>
        <w:rPr>
          <w:sz w:val="28"/>
          <w:szCs w:val="28"/>
          <w:lang w:val="vi-VN"/>
        </w:rPr>
      </w:pPr>
      <w:bookmarkStart w:id="3" w:name="khoan_3_1"/>
      <w:r>
        <w:rPr>
          <w:sz w:val="28"/>
          <w:szCs w:val="28"/>
        </w:rPr>
        <w:t xml:space="preserve">2. </w:t>
      </w:r>
      <w:r>
        <w:rPr>
          <w:sz w:val="28"/>
          <w:szCs w:val="28"/>
          <w:lang w:val="vi-VN"/>
        </w:rPr>
        <w:t xml:space="preserve">Sửa đổi, bổ sung khoản 1 </w:t>
      </w:r>
      <w:r>
        <w:rPr>
          <w:sz w:val="28"/>
          <w:szCs w:val="28"/>
        </w:rPr>
        <w:t>Điều 2</w:t>
      </w:r>
      <w:r>
        <w:rPr>
          <w:sz w:val="28"/>
          <w:szCs w:val="28"/>
          <w:lang w:val="vi-VN"/>
        </w:rPr>
        <w:t xml:space="preserve"> như sau:</w:t>
      </w:r>
      <w:bookmarkEnd w:id="3"/>
    </w:p>
    <w:p w14:paraId="51529D85">
      <w:pPr>
        <w:pStyle w:val="9"/>
        <w:shd w:val="clear" w:color="auto" w:fill="FFFFFF"/>
        <w:spacing w:before="120" w:beforeAutospacing="0" w:after="120" w:afterAutospacing="0"/>
        <w:ind w:firstLine="709"/>
        <w:rPr>
          <w:sz w:val="28"/>
          <w:szCs w:val="28"/>
        </w:rPr>
      </w:pPr>
      <w:r>
        <w:rPr>
          <w:b/>
          <w:bCs/>
          <w:sz w:val="28"/>
          <w:szCs w:val="28"/>
        </w:rPr>
        <w:t>“</w:t>
      </w:r>
      <w:r>
        <w:rPr>
          <w:sz w:val="28"/>
          <w:szCs w:val="28"/>
        </w:rPr>
        <w:t xml:space="preserve">1. </w:t>
      </w:r>
      <w:r>
        <w:rPr>
          <w:sz w:val="28"/>
          <w:szCs w:val="28"/>
          <w:lang w:val="vi-VN"/>
        </w:rPr>
        <w:t>Cơ quan nhà nước, đơn vị sự nghiệp công lập (bao gồm ban quản lý dự án sử dụng vốn nhà nước là đơn vị sự nghiệp công lập) thuộc phạm vi quản lý của Ủy ban nhân dân tỉnh” (sau đây gọi là cơ quan, tổ chức, đơn vị).</w:t>
      </w:r>
    </w:p>
    <w:p w14:paraId="6C99A944">
      <w:pPr>
        <w:spacing w:before="120" w:after="120"/>
        <w:ind w:firstLine="720"/>
        <w:jc w:val="both"/>
        <w:rPr>
          <w:sz w:val="28"/>
          <w:szCs w:val="28"/>
        </w:rPr>
      </w:pPr>
      <w:r>
        <w:rPr>
          <w:sz w:val="28"/>
          <w:szCs w:val="28"/>
        </w:rPr>
        <w:t>3. Bổ sung Điều 4a, Điều 4b vào sau Điều 4 như sau:</w:t>
      </w:r>
    </w:p>
    <w:p w14:paraId="3AF35B98">
      <w:pPr>
        <w:spacing w:before="120" w:after="120"/>
        <w:ind w:firstLine="720"/>
        <w:jc w:val="both"/>
        <w:rPr>
          <w:b/>
          <w:bCs/>
          <w:sz w:val="28"/>
          <w:szCs w:val="28"/>
        </w:rPr>
      </w:pPr>
      <w:r>
        <w:rPr>
          <w:b/>
          <w:bCs/>
          <w:sz w:val="28"/>
          <w:szCs w:val="28"/>
        </w:rPr>
        <w:t xml:space="preserve">“Điều 4a. Phân cấp thẩm quyền quyết định tiêu chuẩn, định mức sử dụng máy móc, thiết bị đầu cuối cơ bản phục vụ công việc thường xuyên trên môi trường số </w:t>
      </w:r>
    </w:p>
    <w:p w14:paraId="6105870F">
      <w:pPr>
        <w:spacing w:before="120" w:after="120"/>
        <w:ind w:firstLine="720"/>
        <w:jc w:val="both"/>
        <w:rPr>
          <w:b/>
          <w:bCs/>
          <w:sz w:val="28"/>
          <w:szCs w:val="28"/>
        </w:rPr>
      </w:pPr>
      <w:r>
        <w:rPr>
          <w:bCs/>
          <w:sz w:val="28"/>
          <w:szCs w:val="28"/>
          <w:lang w:val="vi-VN"/>
        </w:rPr>
        <w:t xml:space="preserve">Cơ quan chuyên môn, tổ chức hành chính khác, đơn vị sự nghiệp công lập thuộc Ủy ban nhân dân tỉnh, Chủ tịch Ủy ban nhân dân xã, phường quyết định số lượng và mức giá máy móc, thiết bị đầu cuối cơ bản phục vụ công việc thường xuyên trên môi trường số quy định tại Mục C Phụ lục ban hành kèm theo Quyết định số 10/2026/QĐ-TTg cho đơn vị mình và các cơ quan, tổ chức, đơn vị thuộc phạm vi quản lý, trên cơ sở chức năng, nhiệm vụ, tính chất công việc, nhu cầu sử dụng, khả năng nguồn kinh phí được phép sử dụng và hướng dẫn của Bộ Khoa học và Công nghệ về yêu cầu kỹ thuật, cấu hình tối thiểu. </w:t>
      </w:r>
    </w:p>
    <w:p w14:paraId="21D5D7CE">
      <w:pPr>
        <w:spacing w:before="120" w:after="120"/>
        <w:ind w:firstLine="720"/>
        <w:jc w:val="both"/>
        <w:rPr>
          <w:b/>
          <w:bCs/>
          <w:sz w:val="28"/>
          <w:szCs w:val="28"/>
        </w:rPr>
      </w:pPr>
      <w:r>
        <w:rPr>
          <w:b/>
          <w:bCs/>
          <w:sz w:val="28"/>
          <w:szCs w:val="28"/>
        </w:rPr>
        <w:t>Điều 4b. Phân cấp thẩm quyền quyết định tiêu chuẩn, định mức sử dụng máy móc, thiết bị phục vụ công tác bí mật nhà nước trên môi trường số</w:t>
      </w:r>
    </w:p>
    <w:p w14:paraId="2FD52E70">
      <w:pPr>
        <w:pStyle w:val="9"/>
        <w:spacing w:before="120" w:beforeAutospacing="0" w:after="120" w:afterAutospacing="0"/>
        <w:ind w:firstLine="709"/>
        <w:jc w:val="both"/>
        <w:rPr>
          <w:bCs/>
          <w:sz w:val="28"/>
          <w:szCs w:val="28"/>
          <w:lang w:val="vi-VN"/>
        </w:rPr>
      </w:pPr>
      <w:r>
        <w:rPr>
          <w:bCs/>
          <w:sz w:val="28"/>
          <w:szCs w:val="28"/>
          <w:lang w:val="vi-VN"/>
        </w:rPr>
        <w:t>Cơ quan chuyên môn, tổ chức hành chính khác, đơn vị sự nghiệp công lập thuộc Ủy ban nhân dân tỉnh, Chủ tịch Ủy ban nhân dân xã, phường quyết định cho đơn vị mình và các cơ quan, tổ chức, đơn vị thuộc phạm vi quản lý đối với các nội dung sau:</w:t>
      </w:r>
    </w:p>
    <w:p w14:paraId="20634041">
      <w:pPr>
        <w:pStyle w:val="9"/>
        <w:spacing w:before="120" w:beforeAutospacing="0" w:after="120" w:afterAutospacing="0"/>
        <w:ind w:firstLine="709"/>
        <w:jc w:val="both"/>
        <w:rPr>
          <w:bCs/>
          <w:sz w:val="28"/>
          <w:szCs w:val="28"/>
          <w:lang w:val="vi-VN"/>
        </w:rPr>
      </w:pPr>
      <w:r>
        <w:rPr>
          <w:sz w:val="28"/>
          <w:szCs w:val="28"/>
          <w:lang w:val="vi-VN"/>
        </w:rPr>
        <w:t>1.</w:t>
      </w:r>
      <w:r>
        <w:rPr>
          <w:bCs/>
          <w:sz w:val="28"/>
          <w:szCs w:val="28"/>
          <w:lang w:val="vi-VN"/>
        </w:rPr>
        <w:t xml:space="preserve"> Đối với các chức danh tại cơ quan, tổ chức, đơn vị mà theo chức năng, nhiệm vụ được giao phải thường xuyên xử lý công việc có nội dung thuộc phạm vi bí mật nhà nước, căn cứ khối lượng, tính chất của công việc chứa bí mật nhà nước, quyết định số lượng máy móc, thiết bị quy định tại Mục D Phụ lục ban hành kèm theo Quyết định số 10/2026/QĐ-TTg trang bị cho các chức danh để phục vụ công tác bảo vệ bí mật nhà nước.</w:t>
      </w:r>
    </w:p>
    <w:p w14:paraId="1AA4AE9E">
      <w:pPr>
        <w:pStyle w:val="9"/>
        <w:spacing w:before="120" w:beforeAutospacing="0" w:after="120" w:afterAutospacing="0"/>
        <w:ind w:firstLine="709"/>
        <w:jc w:val="both"/>
        <w:rPr>
          <w:bCs/>
          <w:sz w:val="28"/>
          <w:szCs w:val="28"/>
          <w:lang w:val="vi-VN"/>
        </w:rPr>
      </w:pPr>
      <w:r>
        <w:rPr>
          <w:sz w:val="28"/>
          <w:szCs w:val="28"/>
          <w:lang w:val="vi-VN"/>
        </w:rPr>
        <w:t>2.</w:t>
      </w:r>
      <w:r>
        <w:rPr>
          <w:bCs/>
          <w:sz w:val="28"/>
          <w:szCs w:val="28"/>
          <w:lang w:val="vi-VN"/>
        </w:rPr>
        <w:t xml:space="preserve"> Đối với các trường hợp còn lại, căn cứ chức năng, nhiệm vụ, tính chất, mức độ bí mật của công việc theo quy định của pháp luật về bảo vệ bí mật nhà nước và nhu cầu sử dụng, quyết định số lượng máy móc, thiết bị quy định tại Mục D Phụ lục ban hành kèm theo Quyết định số 10/2026/QĐ-TTg cho các chức danh hoặc tại phòng làm việc của các cơ quan, tổ chức, đơn vị thuộc phạm vi quản lý để phục vụ công tác bảo vệ bí mật nhà nước.</w:t>
      </w:r>
    </w:p>
    <w:p w14:paraId="33F6EC8B">
      <w:pPr>
        <w:pStyle w:val="9"/>
        <w:spacing w:before="120" w:beforeAutospacing="0" w:after="120" w:afterAutospacing="0"/>
        <w:ind w:firstLine="709"/>
        <w:jc w:val="both"/>
        <w:rPr>
          <w:bCs/>
          <w:sz w:val="28"/>
          <w:szCs w:val="28"/>
          <w:lang w:val="vi-VN"/>
        </w:rPr>
      </w:pPr>
      <w:r>
        <w:rPr>
          <w:sz w:val="28"/>
          <w:szCs w:val="28"/>
          <w:lang w:val="vi-VN"/>
        </w:rPr>
        <w:t>3.</w:t>
      </w:r>
      <w:r>
        <w:rPr>
          <w:bCs/>
          <w:sz w:val="28"/>
          <w:szCs w:val="28"/>
          <w:lang w:val="vi-VN"/>
        </w:rPr>
        <w:t xml:space="preserve"> Quyết định mức giá máy móc, thiết bị phục vụ công tác bí mật nhà nước trên môi trường số đối với trường hợp cơ quan chủ trì triển khai xử lý hồ sơ, công việc chứa bí mật nhà nước trên môi trường số yêu cầu trang bị máy móc, thiết bị từ số thứ tự 1 đến số thứ tự 6 Mục D Phụ lục ban hành kèm theo Quyết định số 10/2026/QĐ-TTg có yêu cầu về tính năng, dung lượng, cấu hình mà có mức giá cao hơn mức giá của máy móc, thiết bị tương ứng quy định tại Mục A, Mục B và trường hợp trang bị máy móc, thiết bị tại số thứ tự 7, số thứ tự 8 Mục D Phụ lục ban hành kèm theo Quyết định số 10/2026/QĐ-TTg.”</w:t>
      </w:r>
    </w:p>
    <w:p w14:paraId="24858D9C">
      <w:pPr>
        <w:spacing w:before="120" w:after="120"/>
        <w:ind w:firstLine="720"/>
        <w:jc w:val="both"/>
        <w:rPr>
          <w:b/>
          <w:bCs/>
          <w:sz w:val="28"/>
          <w:szCs w:val="28"/>
          <w:lang w:val="vi-VN"/>
        </w:rPr>
      </w:pPr>
      <w:r>
        <w:rPr>
          <w:b/>
          <w:bCs/>
          <w:sz w:val="28"/>
          <w:szCs w:val="28"/>
        </w:rPr>
        <w:t xml:space="preserve">Điều 2. </w:t>
      </w:r>
      <w:r>
        <w:rPr>
          <w:b/>
          <w:bCs/>
          <w:sz w:val="28"/>
          <w:szCs w:val="28"/>
          <w:lang w:val="vi-VN"/>
        </w:rPr>
        <w:t>Thay</w:t>
      </w:r>
      <w:r>
        <w:rPr>
          <w:b/>
          <w:bCs/>
          <w:sz w:val="28"/>
          <w:szCs w:val="28"/>
        </w:rPr>
        <w:t xml:space="preserve"> thế một số </w:t>
      </w:r>
      <w:r>
        <w:rPr>
          <w:b/>
          <w:bCs/>
          <w:sz w:val="28"/>
          <w:szCs w:val="28"/>
          <w:lang w:val="vi-VN"/>
        </w:rPr>
        <w:t>cụm từ</w:t>
      </w:r>
      <w:r>
        <w:rPr>
          <w:b/>
          <w:bCs/>
          <w:sz w:val="28"/>
          <w:szCs w:val="28"/>
        </w:rPr>
        <w:t xml:space="preserve"> của Quyết định số </w:t>
      </w:r>
      <w:r>
        <w:rPr>
          <w:b/>
          <w:bCs/>
          <w:sz w:val="28"/>
          <w:szCs w:val="28"/>
          <w:lang w:val="vi-VN"/>
        </w:rPr>
        <w:t>98</w:t>
      </w:r>
      <w:r>
        <w:rPr>
          <w:b/>
          <w:bCs/>
          <w:sz w:val="28"/>
          <w:szCs w:val="28"/>
        </w:rPr>
        <w:t xml:space="preserve">/2025/QĐ-UBND ngày </w:t>
      </w:r>
      <w:r>
        <w:rPr>
          <w:b/>
          <w:bCs/>
          <w:sz w:val="28"/>
          <w:szCs w:val="28"/>
          <w:lang w:val="vi-VN"/>
        </w:rPr>
        <w:t xml:space="preserve">22 </w:t>
      </w:r>
      <w:r>
        <w:rPr>
          <w:b/>
          <w:bCs/>
          <w:sz w:val="28"/>
          <w:szCs w:val="28"/>
        </w:rPr>
        <w:t xml:space="preserve">tháng 12 năm 2025 của UBND tỉnh </w:t>
      </w:r>
      <w:r>
        <w:rPr>
          <w:b/>
          <w:bCs/>
          <w:sz w:val="28"/>
          <w:szCs w:val="28"/>
          <w:lang w:val="vi-VN"/>
        </w:rPr>
        <w:t xml:space="preserve">Hà Tĩnh </w:t>
      </w:r>
    </w:p>
    <w:p w14:paraId="5FDFBE65">
      <w:pPr>
        <w:spacing w:before="120" w:after="120"/>
        <w:ind w:firstLine="720"/>
        <w:jc w:val="both"/>
        <w:rPr>
          <w:sz w:val="28"/>
          <w:szCs w:val="28"/>
        </w:rPr>
      </w:pPr>
      <w:r>
        <w:rPr>
          <w:sz w:val="28"/>
          <w:szCs w:val="28"/>
          <w:lang w:val="vi-VN"/>
        </w:rPr>
        <w:t>1.</w:t>
      </w:r>
      <w:r>
        <w:rPr>
          <w:sz w:val="28"/>
          <w:szCs w:val="28"/>
        </w:rPr>
        <w:t xml:space="preserve"> Thay thế cụm từ “Mục A Phụ lục II </w:t>
      </w:r>
      <w:r>
        <w:rPr>
          <w:sz w:val="28"/>
          <w:szCs w:val="28"/>
          <w:lang w:val="vi-VN"/>
        </w:rPr>
        <w:t xml:space="preserve">ban hành kèm theo </w:t>
      </w:r>
      <w:r>
        <w:rPr>
          <w:sz w:val="28"/>
          <w:szCs w:val="28"/>
        </w:rPr>
        <w:t xml:space="preserve">Quyết định số 15/2025/QĐ-TTg” bằng cụm từ “Mục A Phụ lục </w:t>
      </w:r>
      <w:r>
        <w:rPr>
          <w:sz w:val="28"/>
          <w:szCs w:val="28"/>
          <w:lang w:val="vi-VN"/>
        </w:rPr>
        <w:t xml:space="preserve">ban hành kèm theo </w:t>
      </w:r>
      <w:r>
        <w:rPr>
          <w:sz w:val="28"/>
          <w:szCs w:val="28"/>
        </w:rPr>
        <w:t xml:space="preserve">Quyết định số 10/2026/QĐ-TTg” tại </w:t>
      </w:r>
      <w:r>
        <w:rPr>
          <w:sz w:val="28"/>
          <w:szCs w:val="28"/>
          <w:lang w:val="vi-VN"/>
        </w:rPr>
        <w:t xml:space="preserve">điểm a, điểm b </w:t>
      </w:r>
      <w:r>
        <w:rPr>
          <w:sz w:val="28"/>
          <w:szCs w:val="28"/>
        </w:rPr>
        <w:t>khoản 1</w:t>
      </w:r>
      <w:r>
        <w:rPr>
          <w:sz w:val="28"/>
          <w:szCs w:val="28"/>
          <w:lang w:val="vi-VN"/>
        </w:rPr>
        <w:t xml:space="preserve"> Điều 1 và </w:t>
      </w:r>
      <w:r>
        <w:rPr>
          <w:sz w:val="28"/>
          <w:szCs w:val="28"/>
        </w:rPr>
        <w:t xml:space="preserve">khoản </w:t>
      </w:r>
      <w:r>
        <w:rPr>
          <w:sz w:val="28"/>
          <w:szCs w:val="28"/>
          <w:lang w:val="vi-VN"/>
        </w:rPr>
        <w:t>1</w:t>
      </w:r>
      <w:r>
        <w:rPr>
          <w:sz w:val="28"/>
          <w:szCs w:val="28"/>
        </w:rPr>
        <w:t xml:space="preserve">, khoản </w:t>
      </w:r>
      <w:r>
        <w:rPr>
          <w:sz w:val="28"/>
          <w:szCs w:val="28"/>
          <w:lang w:val="vi-VN"/>
        </w:rPr>
        <w:t>2</w:t>
      </w:r>
      <w:r>
        <w:rPr>
          <w:sz w:val="28"/>
          <w:szCs w:val="28"/>
        </w:rPr>
        <w:t xml:space="preserve"> Điều </w:t>
      </w:r>
      <w:r>
        <w:rPr>
          <w:sz w:val="28"/>
          <w:szCs w:val="28"/>
          <w:lang w:val="vi-VN"/>
        </w:rPr>
        <w:t>3</w:t>
      </w:r>
      <w:r>
        <w:rPr>
          <w:sz w:val="28"/>
          <w:szCs w:val="28"/>
        </w:rPr>
        <w:t>.</w:t>
      </w:r>
    </w:p>
    <w:p w14:paraId="0C51F0AD">
      <w:pPr>
        <w:spacing w:before="120" w:after="120"/>
        <w:ind w:firstLine="720"/>
        <w:jc w:val="both"/>
        <w:rPr>
          <w:sz w:val="28"/>
          <w:szCs w:val="28"/>
        </w:rPr>
      </w:pPr>
      <w:r>
        <w:rPr>
          <w:sz w:val="28"/>
          <w:szCs w:val="28"/>
          <w:lang w:val="vi-VN"/>
        </w:rPr>
        <w:t>2.</w:t>
      </w:r>
      <w:r>
        <w:rPr>
          <w:sz w:val="28"/>
          <w:szCs w:val="28"/>
        </w:rPr>
        <w:t xml:space="preserve"> Thay thế cụm từ “Mục B Phụ lục II </w:t>
      </w:r>
      <w:r>
        <w:rPr>
          <w:sz w:val="28"/>
          <w:szCs w:val="28"/>
          <w:lang w:val="vi-VN"/>
        </w:rPr>
        <w:t xml:space="preserve">ban hành kèm theo </w:t>
      </w:r>
      <w:r>
        <w:rPr>
          <w:sz w:val="28"/>
          <w:szCs w:val="28"/>
        </w:rPr>
        <w:t xml:space="preserve">Quyết định số 15/2025/QĐ-TTg” bằng cụm từ “Mục B Phụ lục </w:t>
      </w:r>
      <w:r>
        <w:rPr>
          <w:sz w:val="28"/>
          <w:szCs w:val="28"/>
          <w:lang w:val="vi-VN"/>
        </w:rPr>
        <w:t xml:space="preserve">ban hành kèm theo </w:t>
      </w:r>
      <w:r>
        <w:rPr>
          <w:sz w:val="28"/>
          <w:szCs w:val="28"/>
        </w:rPr>
        <w:t xml:space="preserve">Quyết định số 10/2026/QĐ-TTg” tại </w:t>
      </w:r>
      <w:r>
        <w:rPr>
          <w:sz w:val="28"/>
          <w:szCs w:val="28"/>
          <w:lang w:val="vi-VN"/>
        </w:rPr>
        <w:t xml:space="preserve">điểm a, điểm b </w:t>
      </w:r>
      <w:r>
        <w:rPr>
          <w:sz w:val="28"/>
          <w:szCs w:val="28"/>
        </w:rPr>
        <w:t>khoản 1</w:t>
      </w:r>
      <w:r>
        <w:rPr>
          <w:sz w:val="28"/>
          <w:szCs w:val="28"/>
          <w:lang w:val="vi-VN"/>
        </w:rPr>
        <w:t xml:space="preserve"> Điều 1 và</w:t>
      </w:r>
      <w:r>
        <w:rPr>
          <w:sz w:val="28"/>
          <w:szCs w:val="28"/>
        </w:rPr>
        <w:t xml:space="preserve"> </w:t>
      </w:r>
      <w:r>
        <w:rPr>
          <w:sz w:val="28"/>
          <w:szCs w:val="28"/>
          <w:lang w:val="vi-VN"/>
        </w:rPr>
        <w:t>khoản 1, khoản 2</w:t>
      </w:r>
      <w:r>
        <w:rPr>
          <w:sz w:val="28"/>
          <w:szCs w:val="28"/>
        </w:rPr>
        <w:t xml:space="preserve"> Điều 4.</w:t>
      </w:r>
    </w:p>
    <w:p w14:paraId="3E7914BA">
      <w:pPr>
        <w:spacing w:before="120" w:after="120"/>
        <w:ind w:firstLine="720"/>
        <w:rPr>
          <w:sz w:val="28"/>
          <w:szCs w:val="28"/>
        </w:rPr>
      </w:pPr>
      <w:bookmarkStart w:id="4" w:name="dieu_5"/>
      <w:r>
        <w:rPr>
          <w:b/>
          <w:bCs/>
          <w:sz w:val="28"/>
          <w:szCs w:val="28"/>
        </w:rPr>
        <w:t xml:space="preserve">Điều 3. </w:t>
      </w:r>
      <w:bookmarkEnd w:id="4"/>
      <w:r>
        <w:rPr>
          <w:b/>
          <w:bCs/>
          <w:sz w:val="28"/>
          <w:szCs w:val="28"/>
        </w:rPr>
        <w:t>Điều khoản thi hành</w:t>
      </w:r>
    </w:p>
    <w:p w14:paraId="461CF458">
      <w:pPr>
        <w:spacing w:before="120" w:after="120"/>
        <w:ind w:firstLine="720"/>
        <w:rPr>
          <w:sz w:val="28"/>
          <w:szCs w:val="28"/>
        </w:rPr>
      </w:pPr>
      <w:bookmarkStart w:id="5" w:name="_Hlk210811517"/>
      <w:r>
        <w:rPr>
          <w:sz w:val="28"/>
          <w:szCs w:val="28"/>
        </w:rPr>
        <w:t>Quyết định này có hiệu lực thi hành kể từ ngày       tháng      năm 2026.</w:t>
      </w:r>
    </w:p>
    <w:bookmarkEnd w:id="5"/>
    <w:p w14:paraId="5FD6A677">
      <w:pPr>
        <w:spacing w:before="120" w:after="120"/>
        <w:ind w:firstLine="720"/>
        <w:jc w:val="both"/>
        <w:rPr>
          <w:sz w:val="28"/>
          <w:szCs w:val="28"/>
        </w:rPr>
      </w:pPr>
      <w:bookmarkStart w:id="6" w:name="_Hlk210811756"/>
      <w:r>
        <w:rPr>
          <w:b/>
          <w:bCs/>
          <w:sz w:val="28"/>
          <w:szCs w:val="28"/>
        </w:rPr>
        <w:t>Điều 4. Tổ chức thực hiện</w:t>
      </w:r>
    </w:p>
    <w:bookmarkEnd w:id="6"/>
    <w:p w14:paraId="48BCFC8B">
      <w:pPr>
        <w:spacing w:before="120" w:after="120"/>
        <w:ind w:firstLine="720"/>
        <w:jc w:val="both"/>
        <w:rPr>
          <w:sz w:val="28"/>
          <w:szCs w:val="28"/>
        </w:rPr>
      </w:pPr>
      <w:bookmarkStart w:id="7" w:name="_Hlk210811766"/>
      <w:r>
        <w:rPr>
          <w:sz w:val="28"/>
          <w:szCs w:val="28"/>
        </w:rPr>
        <w:t xml:space="preserve">Chánh Văn phòng Ủy ban nhân dân tỉnh; </w:t>
      </w:r>
      <w:r>
        <w:rPr>
          <w:sz w:val="28"/>
          <w:szCs w:val="28"/>
          <w:lang w:val="vi-VN"/>
        </w:rPr>
        <w:t>Giám đốc (</w:t>
      </w:r>
      <w:r>
        <w:rPr>
          <w:sz w:val="28"/>
          <w:szCs w:val="28"/>
        </w:rPr>
        <w:t>Thủ trưởng</w:t>
      </w:r>
      <w:r>
        <w:rPr>
          <w:sz w:val="28"/>
          <w:szCs w:val="28"/>
          <w:lang w:val="vi-VN"/>
        </w:rPr>
        <w:t>)</w:t>
      </w:r>
      <w:r>
        <w:rPr>
          <w:sz w:val="28"/>
          <w:szCs w:val="28"/>
        </w:rPr>
        <w:t xml:space="preserve"> các sở, ban, ngành của tỉnh; Chủ tịch Ủy ban nhân dân các xã, phường</w:t>
      </w:r>
      <w:r>
        <w:rPr>
          <w:sz w:val="28"/>
          <w:szCs w:val="28"/>
          <w:lang w:val="vi-VN"/>
        </w:rPr>
        <w:t>; Thủ trưởng các cơ quan, tổ chức, đơn vị</w:t>
      </w:r>
      <w:r>
        <w:rPr>
          <w:sz w:val="28"/>
          <w:szCs w:val="28"/>
        </w:rPr>
        <w:t xml:space="preserve"> và các tổ chức, cá nhân có liên quan chịu trách nhiệm thi hành Quyết định này./.</w:t>
      </w:r>
    </w:p>
    <w:bookmarkEnd w:id="7"/>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810"/>
        <w:gridCol w:w="4811"/>
      </w:tblGrid>
      <w:tr w14:paraId="179BA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500" w:type="pct"/>
            <w:tcBorders>
              <w:top w:val="nil"/>
              <w:left w:val="nil"/>
              <w:bottom w:val="nil"/>
              <w:right w:val="nil"/>
              <w:tl2br w:val="nil"/>
              <w:tr2bl w:val="nil"/>
            </w:tcBorders>
            <w:tcMar>
              <w:top w:w="0" w:type="dxa"/>
              <w:left w:w="108" w:type="dxa"/>
              <w:bottom w:w="0" w:type="dxa"/>
              <w:right w:w="108" w:type="dxa"/>
            </w:tcMar>
          </w:tcPr>
          <w:p w14:paraId="15314E1E">
            <w:pPr>
              <w:spacing w:before="120"/>
              <w:rPr>
                <w:sz w:val="26"/>
                <w:szCs w:val="26"/>
              </w:rPr>
            </w:pPr>
            <w:r>
              <w:rPr>
                <w:sz w:val="26"/>
                <w:szCs w:val="26"/>
              </w:rPr>
              <w:t> </w:t>
            </w:r>
            <w:r>
              <w:rPr>
                <w:b/>
                <w:bCs/>
                <w:i/>
                <w:iCs/>
                <w:sz w:val="26"/>
                <w:szCs w:val="26"/>
              </w:rPr>
              <w:t>Nơi nhận:</w:t>
            </w:r>
            <w:r>
              <w:rPr>
                <w:b/>
                <w:bCs/>
                <w:i/>
                <w:iCs/>
                <w:sz w:val="26"/>
                <w:szCs w:val="26"/>
              </w:rPr>
              <w:br w:type="textWrapping"/>
            </w:r>
            <w:r>
              <w:t>- Như Điều 4;</w:t>
            </w:r>
            <w:r>
              <w:br w:type="textWrapping"/>
            </w:r>
            <w:r>
              <w:t>- Vụ Pháp chế - Bộ Tài chính;</w:t>
            </w:r>
            <w:r>
              <w:br w:type="textWrapping"/>
            </w:r>
            <w:r>
              <w:t>- Cục KTraVB và QLXLVPHC - Bộ Tư pháp;</w:t>
            </w:r>
            <w:r>
              <w:br w:type="textWrapping"/>
            </w:r>
            <w:r>
              <w:t>- Thường trực Tỉnh ủy;</w:t>
            </w:r>
            <w:r>
              <w:br w:type="textWrapping"/>
            </w:r>
            <w:r>
              <w:t>- Thường trực HĐND tỉnh;</w:t>
            </w:r>
            <w:r>
              <w:br w:type="textWrapping"/>
            </w:r>
            <w:r>
              <w:t>- Đoàn đại biểu Quốc hội tỉnh;</w:t>
            </w:r>
            <w:r>
              <w:br w:type="textWrapping"/>
            </w:r>
            <w:r>
              <w:t>- Ủy ban MTTQ Việt Nam tỉnh;</w:t>
            </w:r>
            <w:r>
              <w:br w:type="textWrapping"/>
            </w:r>
            <w:r>
              <w:t>- Lãnh đạo UBND tỉnh;</w:t>
            </w:r>
            <w:r>
              <w:br w:type="textWrapping"/>
            </w:r>
            <w:r>
              <w:t>- Báo</w:t>
            </w:r>
            <w:r>
              <w:rPr>
                <w:lang w:val="vi-VN"/>
              </w:rPr>
              <w:t xml:space="preserve">, </w:t>
            </w:r>
            <w:r>
              <w:t>Phát thanh</w:t>
            </w:r>
            <w:r>
              <w:rPr>
                <w:lang w:val="vi-VN"/>
              </w:rPr>
              <w:t xml:space="preserve"> và</w:t>
            </w:r>
            <w:r>
              <w:t xml:space="preserve"> Truyền hình </w:t>
            </w:r>
            <w:r>
              <w:rPr>
                <w:lang w:val="vi-VN"/>
              </w:rPr>
              <w:t>Hà Tĩnh</w:t>
            </w:r>
            <w:r>
              <w:t>;</w:t>
            </w:r>
            <w:r>
              <w:br w:type="textWrapping"/>
            </w:r>
            <w:r>
              <w:t>- Cổng thông tin điện tử tỉnh;</w:t>
            </w:r>
            <w:r>
              <w:br w:type="textWrapping"/>
            </w:r>
            <w:r>
              <w:t xml:space="preserve">- Lưu: VT, </w:t>
            </w:r>
            <w:r>
              <w:rPr>
                <w:lang w:val="vi-VN"/>
              </w:rPr>
              <w:t>TH</w:t>
            </w:r>
            <w:r>
              <w:rPr>
                <w:vertAlign w:val="subscript"/>
                <w:lang w:val="vi-VN"/>
              </w:rPr>
              <w:t>5</w:t>
            </w:r>
            <w:r>
              <w:t>.</w:t>
            </w:r>
          </w:p>
        </w:tc>
        <w:tc>
          <w:tcPr>
            <w:tcW w:w="2500" w:type="pct"/>
            <w:tcBorders>
              <w:top w:val="nil"/>
              <w:left w:val="nil"/>
              <w:bottom w:val="nil"/>
              <w:right w:val="nil"/>
              <w:tl2br w:val="nil"/>
              <w:tr2bl w:val="nil"/>
            </w:tcBorders>
            <w:tcMar>
              <w:top w:w="0" w:type="dxa"/>
              <w:left w:w="108" w:type="dxa"/>
              <w:bottom w:w="0" w:type="dxa"/>
              <w:right w:w="108" w:type="dxa"/>
            </w:tcMar>
          </w:tcPr>
          <w:p w14:paraId="7499D57C">
            <w:pPr>
              <w:spacing w:before="120"/>
              <w:jc w:val="center"/>
              <w:rPr>
                <w:b/>
                <w:bCs/>
                <w:sz w:val="26"/>
                <w:szCs w:val="26"/>
              </w:rPr>
            </w:pPr>
            <w:r>
              <w:rPr>
                <w:b/>
                <w:bCs/>
                <w:sz w:val="26"/>
                <w:szCs w:val="26"/>
              </w:rPr>
              <w:t>TM. ỦY BAN NHÂN DÂN</w:t>
            </w:r>
            <w:r>
              <w:rPr>
                <w:b/>
                <w:bCs/>
                <w:sz w:val="26"/>
                <w:szCs w:val="26"/>
              </w:rPr>
              <w:br w:type="textWrapping"/>
            </w:r>
            <w:r>
              <w:rPr>
                <w:b/>
                <w:bCs/>
                <w:sz w:val="26"/>
                <w:szCs w:val="26"/>
              </w:rPr>
              <w:t>KT. CHỦ TỊCH</w:t>
            </w:r>
            <w:r>
              <w:rPr>
                <w:b/>
                <w:bCs/>
                <w:sz w:val="26"/>
                <w:szCs w:val="26"/>
              </w:rPr>
              <w:br w:type="textWrapping"/>
            </w:r>
            <w:r>
              <w:rPr>
                <w:b/>
                <w:bCs/>
                <w:sz w:val="26"/>
                <w:szCs w:val="26"/>
              </w:rPr>
              <w:t>PHÓ CHỦ TỊCH</w:t>
            </w:r>
            <w:r>
              <w:rPr>
                <w:b/>
                <w:bCs/>
                <w:sz w:val="26"/>
                <w:szCs w:val="26"/>
              </w:rPr>
              <w:br w:type="textWrapping"/>
            </w:r>
            <w:r>
              <w:rPr>
                <w:b/>
                <w:bCs/>
                <w:sz w:val="26"/>
                <w:szCs w:val="26"/>
              </w:rPr>
              <w:br w:type="textWrapping"/>
            </w:r>
          </w:p>
          <w:p w14:paraId="30F018D4">
            <w:pPr>
              <w:spacing w:before="120"/>
              <w:jc w:val="center"/>
              <w:rPr>
                <w:b/>
                <w:bCs/>
                <w:sz w:val="26"/>
                <w:szCs w:val="26"/>
              </w:rPr>
            </w:pPr>
          </w:p>
          <w:p w14:paraId="345F1A47">
            <w:pPr>
              <w:spacing w:before="120"/>
              <w:jc w:val="center"/>
              <w:rPr>
                <w:b/>
                <w:bCs/>
                <w:sz w:val="26"/>
                <w:szCs w:val="26"/>
              </w:rPr>
            </w:pPr>
          </w:p>
          <w:p w14:paraId="25D1BCCC">
            <w:pPr>
              <w:spacing w:before="120"/>
              <w:jc w:val="center"/>
              <w:rPr>
                <w:b/>
                <w:bCs/>
                <w:sz w:val="26"/>
                <w:szCs w:val="26"/>
              </w:rPr>
            </w:pPr>
          </w:p>
          <w:p w14:paraId="394B44D0">
            <w:pPr>
              <w:spacing w:before="120"/>
              <w:jc w:val="center"/>
              <w:rPr>
                <w:sz w:val="28"/>
                <w:szCs w:val="28"/>
              </w:rPr>
            </w:pPr>
          </w:p>
        </w:tc>
      </w:tr>
    </w:tbl>
    <w:p w14:paraId="48AF1DEC">
      <w:pPr>
        <w:spacing w:before="120" w:after="100" w:afterAutospacing="1"/>
      </w:pPr>
    </w:p>
    <w:sectPr>
      <w:headerReference r:id="rId3" w:type="default"/>
      <w:pgSz w:w="12240" w:h="15840"/>
      <w:pgMar w:top="1021" w:right="1134" w:bottom="1021" w:left="1701" w:header="510" w:footer="51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Aptos Display">
    <w:altName w:val="Arial"/>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DCA60">
    <w:pPr>
      <w:pStyle w:val="8"/>
      <w:jc w:val="center"/>
    </w:pPr>
    <w:r>
      <w:fldChar w:fldCharType="begin"/>
    </w:r>
    <w:r>
      <w:instrText xml:space="preserve"> PAGE   \* MERGEFORMAT </w:instrText>
    </w:r>
    <w:r>
      <w:fldChar w:fldCharType="separate"/>
    </w:r>
    <w:r>
      <w:t>3</w:t>
    </w:r>
    <w:r>
      <w:fldChar w:fldCharType="end"/>
    </w:r>
  </w:p>
  <w:p w14:paraId="34599C2B">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41A"/>
    <w:rsid w:val="000033AA"/>
    <w:rsid w:val="00004F58"/>
    <w:rsid w:val="00011339"/>
    <w:rsid w:val="00011BA5"/>
    <w:rsid w:val="000128C0"/>
    <w:rsid w:val="00023580"/>
    <w:rsid w:val="00023F12"/>
    <w:rsid w:val="0002450A"/>
    <w:rsid w:val="0002575D"/>
    <w:rsid w:val="00030F69"/>
    <w:rsid w:val="000316C4"/>
    <w:rsid w:val="00034F71"/>
    <w:rsid w:val="0003531F"/>
    <w:rsid w:val="000378AE"/>
    <w:rsid w:val="00040A98"/>
    <w:rsid w:val="00041230"/>
    <w:rsid w:val="00041695"/>
    <w:rsid w:val="000432E8"/>
    <w:rsid w:val="0004439E"/>
    <w:rsid w:val="00044430"/>
    <w:rsid w:val="0005471B"/>
    <w:rsid w:val="00054DB1"/>
    <w:rsid w:val="00055EA3"/>
    <w:rsid w:val="00063BD1"/>
    <w:rsid w:val="00070276"/>
    <w:rsid w:val="00070D10"/>
    <w:rsid w:val="00071FDA"/>
    <w:rsid w:val="00072C02"/>
    <w:rsid w:val="00075015"/>
    <w:rsid w:val="00076D58"/>
    <w:rsid w:val="00077A6E"/>
    <w:rsid w:val="00082F0F"/>
    <w:rsid w:val="00086FE5"/>
    <w:rsid w:val="00087DF2"/>
    <w:rsid w:val="00093B6D"/>
    <w:rsid w:val="000940B7"/>
    <w:rsid w:val="000949C0"/>
    <w:rsid w:val="0009773C"/>
    <w:rsid w:val="00097A7E"/>
    <w:rsid w:val="000A3559"/>
    <w:rsid w:val="000A3E2E"/>
    <w:rsid w:val="000A6A61"/>
    <w:rsid w:val="000B01F2"/>
    <w:rsid w:val="000B323F"/>
    <w:rsid w:val="000B3B2F"/>
    <w:rsid w:val="000B5385"/>
    <w:rsid w:val="000C1DDD"/>
    <w:rsid w:val="000D231C"/>
    <w:rsid w:val="000E2DAF"/>
    <w:rsid w:val="000E2DE7"/>
    <w:rsid w:val="000E2E12"/>
    <w:rsid w:val="000E5BCA"/>
    <w:rsid w:val="000F0E10"/>
    <w:rsid w:val="000F2383"/>
    <w:rsid w:val="000F28BF"/>
    <w:rsid w:val="000F517B"/>
    <w:rsid w:val="00101162"/>
    <w:rsid w:val="00103BF6"/>
    <w:rsid w:val="001042D1"/>
    <w:rsid w:val="00104AFC"/>
    <w:rsid w:val="0010627C"/>
    <w:rsid w:val="001065D9"/>
    <w:rsid w:val="00115258"/>
    <w:rsid w:val="001153DD"/>
    <w:rsid w:val="00122B95"/>
    <w:rsid w:val="00127A00"/>
    <w:rsid w:val="00131B29"/>
    <w:rsid w:val="00132668"/>
    <w:rsid w:val="001334E2"/>
    <w:rsid w:val="001353C5"/>
    <w:rsid w:val="00135ADA"/>
    <w:rsid w:val="001376F0"/>
    <w:rsid w:val="00141E87"/>
    <w:rsid w:val="00144007"/>
    <w:rsid w:val="0015210F"/>
    <w:rsid w:val="00152275"/>
    <w:rsid w:val="001542EE"/>
    <w:rsid w:val="001565AF"/>
    <w:rsid w:val="00157D75"/>
    <w:rsid w:val="00171F03"/>
    <w:rsid w:val="00172100"/>
    <w:rsid w:val="00173AFB"/>
    <w:rsid w:val="00174A85"/>
    <w:rsid w:val="0017603A"/>
    <w:rsid w:val="00181517"/>
    <w:rsid w:val="00185C1E"/>
    <w:rsid w:val="00191E95"/>
    <w:rsid w:val="0019579F"/>
    <w:rsid w:val="001A2955"/>
    <w:rsid w:val="001A7EC6"/>
    <w:rsid w:val="001B037C"/>
    <w:rsid w:val="001B40AE"/>
    <w:rsid w:val="001C187F"/>
    <w:rsid w:val="001D057E"/>
    <w:rsid w:val="001D0846"/>
    <w:rsid w:val="001D1F01"/>
    <w:rsid w:val="001D6FB0"/>
    <w:rsid w:val="001E02AB"/>
    <w:rsid w:val="001E16AD"/>
    <w:rsid w:val="001E5AE1"/>
    <w:rsid w:val="001E7033"/>
    <w:rsid w:val="001F1617"/>
    <w:rsid w:val="001F2FB6"/>
    <w:rsid w:val="001F42FF"/>
    <w:rsid w:val="0020123E"/>
    <w:rsid w:val="00202BA3"/>
    <w:rsid w:val="0020325B"/>
    <w:rsid w:val="0020459E"/>
    <w:rsid w:val="00204703"/>
    <w:rsid w:val="00206B57"/>
    <w:rsid w:val="002126D3"/>
    <w:rsid w:val="00212860"/>
    <w:rsid w:val="00212B19"/>
    <w:rsid w:val="00212B55"/>
    <w:rsid w:val="00213D20"/>
    <w:rsid w:val="0022016D"/>
    <w:rsid w:val="00220A5A"/>
    <w:rsid w:val="00223492"/>
    <w:rsid w:val="00225122"/>
    <w:rsid w:val="00226CF1"/>
    <w:rsid w:val="00227102"/>
    <w:rsid w:val="00227C00"/>
    <w:rsid w:val="0023436C"/>
    <w:rsid w:val="00235765"/>
    <w:rsid w:val="002364D0"/>
    <w:rsid w:val="00237CD1"/>
    <w:rsid w:val="00240668"/>
    <w:rsid w:val="00242FC9"/>
    <w:rsid w:val="00246592"/>
    <w:rsid w:val="00246D70"/>
    <w:rsid w:val="002473DB"/>
    <w:rsid w:val="00250222"/>
    <w:rsid w:val="00250917"/>
    <w:rsid w:val="00250C5A"/>
    <w:rsid w:val="00250E0F"/>
    <w:rsid w:val="00255055"/>
    <w:rsid w:val="002600C2"/>
    <w:rsid w:val="00260DC2"/>
    <w:rsid w:val="00262CDC"/>
    <w:rsid w:val="00263AB5"/>
    <w:rsid w:val="002673E7"/>
    <w:rsid w:val="002706EF"/>
    <w:rsid w:val="002745CE"/>
    <w:rsid w:val="00274BAC"/>
    <w:rsid w:val="00275DD7"/>
    <w:rsid w:val="002779A7"/>
    <w:rsid w:val="00283912"/>
    <w:rsid w:val="0029005F"/>
    <w:rsid w:val="0029256B"/>
    <w:rsid w:val="00297FC1"/>
    <w:rsid w:val="002A6C24"/>
    <w:rsid w:val="002A7159"/>
    <w:rsid w:val="002B0B97"/>
    <w:rsid w:val="002B122A"/>
    <w:rsid w:val="002C68EA"/>
    <w:rsid w:val="002E4381"/>
    <w:rsid w:val="00302046"/>
    <w:rsid w:val="00302737"/>
    <w:rsid w:val="00305113"/>
    <w:rsid w:val="00313C77"/>
    <w:rsid w:val="00314035"/>
    <w:rsid w:val="003152CD"/>
    <w:rsid w:val="003160BE"/>
    <w:rsid w:val="003168E5"/>
    <w:rsid w:val="00316F83"/>
    <w:rsid w:val="0031700D"/>
    <w:rsid w:val="0032172D"/>
    <w:rsid w:val="00321C89"/>
    <w:rsid w:val="00325FFA"/>
    <w:rsid w:val="00327850"/>
    <w:rsid w:val="00334BF2"/>
    <w:rsid w:val="00336C60"/>
    <w:rsid w:val="00340C28"/>
    <w:rsid w:val="00343A43"/>
    <w:rsid w:val="003444EF"/>
    <w:rsid w:val="00347A65"/>
    <w:rsid w:val="00350E1D"/>
    <w:rsid w:val="00351578"/>
    <w:rsid w:val="00351A85"/>
    <w:rsid w:val="003526FB"/>
    <w:rsid w:val="00353E8A"/>
    <w:rsid w:val="003615AD"/>
    <w:rsid w:val="00361981"/>
    <w:rsid w:val="00365DAD"/>
    <w:rsid w:val="003664D0"/>
    <w:rsid w:val="00366D37"/>
    <w:rsid w:val="0037057A"/>
    <w:rsid w:val="00373283"/>
    <w:rsid w:val="003735B2"/>
    <w:rsid w:val="00374B49"/>
    <w:rsid w:val="00380784"/>
    <w:rsid w:val="00380EFE"/>
    <w:rsid w:val="00381FB1"/>
    <w:rsid w:val="003830C1"/>
    <w:rsid w:val="003847B7"/>
    <w:rsid w:val="003860D9"/>
    <w:rsid w:val="003932A2"/>
    <w:rsid w:val="003948EC"/>
    <w:rsid w:val="00395E16"/>
    <w:rsid w:val="00396BF8"/>
    <w:rsid w:val="00397513"/>
    <w:rsid w:val="003A04C1"/>
    <w:rsid w:val="003A265E"/>
    <w:rsid w:val="003A306F"/>
    <w:rsid w:val="003A6142"/>
    <w:rsid w:val="003A7800"/>
    <w:rsid w:val="003B08CD"/>
    <w:rsid w:val="003B39CD"/>
    <w:rsid w:val="003B4CD4"/>
    <w:rsid w:val="003B4CFE"/>
    <w:rsid w:val="003B5FA7"/>
    <w:rsid w:val="003C319B"/>
    <w:rsid w:val="003C3CB8"/>
    <w:rsid w:val="003C50AF"/>
    <w:rsid w:val="003D547F"/>
    <w:rsid w:val="003D6AFA"/>
    <w:rsid w:val="003E396E"/>
    <w:rsid w:val="003F31C8"/>
    <w:rsid w:val="003F7C76"/>
    <w:rsid w:val="00400679"/>
    <w:rsid w:val="004007A8"/>
    <w:rsid w:val="00402181"/>
    <w:rsid w:val="0040375B"/>
    <w:rsid w:val="00410052"/>
    <w:rsid w:val="00410218"/>
    <w:rsid w:val="004132B4"/>
    <w:rsid w:val="00422138"/>
    <w:rsid w:val="00430AF1"/>
    <w:rsid w:val="00430E66"/>
    <w:rsid w:val="0043368A"/>
    <w:rsid w:val="00433CF3"/>
    <w:rsid w:val="0043541A"/>
    <w:rsid w:val="00437230"/>
    <w:rsid w:val="00440100"/>
    <w:rsid w:val="0044200B"/>
    <w:rsid w:val="00443362"/>
    <w:rsid w:val="004458CC"/>
    <w:rsid w:val="00445E1D"/>
    <w:rsid w:val="00454C14"/>
    <w:rsid w:val="004705FE"/>
    <w:rsid w:val="00475630"/>
    <w:rsid w:val="00481D01"/>
    <w:rsid w:val="004834BA"/>
    <w:rsid w:val="00485CDD"/>
    <w:rsid w:val="004877E2"/>
    <w:rsid w:val="00492DD3"/>
    <w:rsid w:val="00496D77"/>
    <w:rsid w:val="004A0175"/>
    <w:rsid w:val="004A2F22"/>
    <w:rsid w:val="004A44BC"/>
    <w:rsid w:val="004B2464"/>
    <w:rsid w:val="004B4974"/>
    <w:rsid w:val="004B5321"/>
    <w:rsid w:val="004C075A"/>
    <w:rsid w:val="004C1FE6"/>
    <w:rsid w:val="004C277A"/>
    <w:rsid w:val="004D4FCA"/>
    <w:rsid w:val="004D7154"/>
    <w:rsid w:val="004E07AE"/>
    <w:rsid w:val="004E0D53"/>
    <w:rsid w:val="004E2B77"/>
    <w:rsid w:val="004E2E8D"/>
    <w:rsid w:val="004E301D"/>
    <w:rsid w:val="004E3CE2"/>
    <w:rsid w:val="004E7E1C"/>
    <w:rsid w:val="004F0D31"/>
    <w:rsid w:val="004F0E9F"/>
    <w:rsid w:val="004F2817"/>
    <w:rsid w:val="004F34ED"/>
    <w:rsid w:val="004F49FC"/>
    <w:rsid w:val="0050364D"/>
    <w:rsid w:val="00506EC7"/>
    <w:rsid w:val="00512DE9"/>
    <w:rsid w:val="005130D1"/>
    <w:rsid w:val="0051332C"/>
    <w:rsid w:val="00514706"/>
    <w:rsid w:val="0051785A"/>
    <w:rsid w:val="005179E7"/>
    <w:rsid w:val="00517B40"/>
    <w:rsid w:val="005215C8"/>
    <w:rsid w:val="0052162F"/>
    <w:rsid w:val="0052366B"/>
    <w:rsid w:val="00523A3A"/>
    <w:rsid w:val="00523B81"/>
    <w:rsid w:val="0052486C"/>
    <w:rsid w:val="00524ECC"/>
    <w:rsid w:val="00531120"/>
    <w:rsid w:val="00532DB6"/>
    <w:rsid w:val="00533166"/>
    <w:rsid w:val="005413D1"/>
    <w:rsid w:val="00543FA4"/>
    <w:rsid w:val="0054763D"/>
    <w:rsid w:val="00551CDB"/>
    <w:rsid w:val="00552A77"/>
    <w:rsid w:val="005533D0"/>
    <w:rsid w:val="0055356E"/>
    <w:rsid w:val="00553890"/>
    <w:rsid w:val="0055633F"/>
    <w:rsid w:val="005605C9"/>
    <w:rsid w:val="00561DDE"/>
    <w:rsid w:val="00563F47"/>
    <w:rsid w:val="005657B7"/>
    <w:rsid w:val="005826F1"/>
    <w:rsid w:val="005835D6"/>
    <w:rsid w:val="005863C6"/>
    <w:rsid w:val="00586B11"/>
    <w:rsid w:val="00587B59"/>
    <w:rsid w:val="00590DC6"/>
    <w:rsid w:val="00596F50"/>
    <w:rsid w:val="00596FC1"/>
    <w:rsid w:val="005A0471"/>
    <w:rsid w:val="005A0692"/>
    <w:rsid w:val="005A4F9B"/>
    <w:rsid w:val="005A68F3"/>
    <w:rsid w:val="005A76BD"/>
    <w:rsid w:val="005A7CB8"/>
    <w:rsid w:val="005B0CDA"/>
    <w:rsid w:val="005B1732"/>
    <w:rsid w:val="005B3CD8"/>
    <w:rsid w:val="005B46E4"/>
    <w:rsid w:val="005C1B87"/>
    <w:rsid w:val="005C1ED9"/>
    <w:rsid w:val="005C3F49"/>
    <w:rsid w:val="005D00E6"/>
    <w:rsid w:val="005D1421"/>
    <w:rsid w:val="005D1935"/>
    <w:rsid w:val="005D40B7"/>
    <w:rsid w:val="005D5C1A"/>
    <w:rsid w:val="005D73E9"/>
    <w:rsid w:val="005F2438"/>
    <w:rsid w:val="005F26D2"/>
    <w:rsid w:val="005F7A32"/>
    <w:rsid w:val="005F7FC4"/>
    <w:rsid w:val="0060140E"/>
    <w:rsid w:val="0060205B"/>
    <w:rsid w:val="00604DA7"/>
    <w:rsid w:val="00606087"/>
    <w:rsid w:val="00612162"/>
    <w:rsid w:val="00612653"/>
    <w:rsid w:val="0061331B"/>
    <w:rsid w:val="006248FC"/>
    <w:rsid w:val="006255ED"/>
    <w:rsid w:val="0062743F"/>
    <w:rsid w:val="00630721"/>
    <w:rsid w:val="00641BE5"/>
    <w:rsid w:val="0065244E"/>
    <w:rsid w:val="00652FC5"/>
    <w:rsid w:val="00657C05"/>
    <w:rsid w:val="0066110A"/>
    <w:rsid w:val="006658DD"/>
    <w:rsid w:val="0067174E"/>
    <w:rsid w:val="0067262B"/>
    <w:rsid w:val="0067269F"/>
    <w:rsid w:val="00672B45"/>
    <w:rsid w:val="00672E36"/>
    <w:rsid w:val="00674AF5"/>
    <w:rsid w:val="00676033"/>
    <w:rsid w:val="006778B7"/>
    <w:rsid w:val="006806CA"/>
    <w:rsid w:val="006822CF"/>
    <w:rsid w:val="00685757"/>
    <w:rsid w:val="00686882"/>
    <w:rsid w:val="0069034E"/>
    <w:rsid w:val="00690A0A"/>
    <w:rsid w:val="00690C24"/>
    <w:rsid w:val="00691CA5"/>
    <w:rsid w:val="006957AA"/>
    <w:rsid w:val="006A106A"/>
    <w:rsid w:val="006A1FB9"/>
    <w:rsid w:val="006A2215"/>
    <w:rsid w:val="006A2BFB"/>
    <w:rsid w:val="006A37FD"/>
    <w:rsid w:val="006A4C87"/>
    <w:rsid w:val="006A6950"/>
    <w:rsid w:val="006A70D9"/>
    <w:rsid w:val="006B2C78"/>
    <w:rsid w:val="006B66A2"/>
    <w:rsid w:val="006B7F5E"/>
    <w:rsid w:val="006C3D80"/>
    <w:rsid w:val="006C4540"/>
    <w:rsid w:val="006D1D2E"/>
    <w:rsid w:val="006D324B"/>
    <w:rsid w:val="006D3DEF"/>
    <w:rsid w:val="006D640E"/>
    <w:rsid w:val="006D666C"/>
    <w:rsid w:val="006E55F9"/>
    <w:rsid w:val="006E5BA6"/>
    <w:rsid w:val="006E6083"/>
    <w:rsid w:val="006F1DAA"/>
    <w:rsid w:val="006F20A2"/>
    <w:rsid w:val="006F4160"/>
    <w:rsid w:val="006F56D4"/>
    <w:rsid w:val="006F6DAF"/>
    <w:rsid w:val="006F76B6"/>
    <w:rsid w:val="0070234F"/>
    <w:rsid w:val="007040DD"/>
    <w:rsid w:val="007103FF"/>
    <w:rsid w:val="00713EFA"/>
    <w:rsid w:val="007161C8"/>
    <w:rsid w:val="00717982"/>
    <w:rsid w:val="00720AF7"/>
    <w:rsid w:val="007271D9"/>
    <w:rsid w:val="00730777"/>
    <w:rsid w:val="00733DEE"/>
    <w:rsid w:val="00734194"/>
    <w:rsid w:val="00741A0E"/>
    <w:rsid w:val="0074217B"/>
    <w:rsid w:val="00744C94"/>
    <w:rsid w:val="007517FE"/>
    <w:rsid w:val="00752E4E"/>
    <w:rsid w:val="00760DCA"/>
    <w:rsid w:val="00761EE0"/>
    <w:rsid w:val="00762433"/>
    <w:rsid w:val="00764D91"/>
    <w:rsid w:val="0077010B"/>
    <w:rsid w:val="00772179"/>
    <w:rsid w:val="00775451"/>
    <w:rsid w:val="00775C7E"/>
    <w:rsid w:val="00775F7F"/>
    <w:rsid w:val="007768F4"/>
    <w:rsid w:val="00780481"/>
    <w:rsid w:val="00786D20"/>
    <w:rsid w:val="007902D8"/>
    <w:rsid w:val="00795EF5"/>
    <w:rsid w:val="00797C4B"/>
    <w:rsid w:val="007A1A05"/>
    <w:rsid w:val="007A2178"/>
    <w:rsid w:val="007B1CF3"/>
    <w:rsid w:val="007B7C0D"/>
    <w:rsid w:val="007B7E3B"/>
    <w:rsid w:val="007D15CA"/>
    <w:rsid w:val="007D4D10"/>
    <w:rsid w:val="007D4DA2"/>
    <w:rsid w:val="007E19B7"/>
    <w:rsid w:val="007E376D"/>
    <w:rsid w:val="007E3A20"/>
    <w:rsid w:val="007E572C"/>
    <w:rsid w:val="007E647C"/>
    <w:rsid w:val="007E7204"/>
    <w:rsid w:val="007F0F4D"/>
    <w:rsid w:val="007F1B19"/>
    <w:rsid w:val="007F3C23"/>
    <w:rsid w:val="007F5DC7"/>
    <w:rsid w:val="00802745"/>
    <w:rsid w:val="00802BC2"/>
    <w:rsid w:val="00804296"/>
    <w:rsid w:val="0081020A"/>
    <w:rsid w:val="00816DC4"/>
    <w:rsid w:val="00821620"/>
    <w:rsid w:val="00822866"/>
    <w:rsid w:val="00822CB4"/>
    <w:rsid w:val="00827717"/>
    <w:rsid w:val="0083522B"/>
    <w:rsid w:val="0083749B"/>
    <w:rsid w:val="0083762C"/>
    <w:rsid w:val="00837F17"/>
    <w:rsid w:val="008412C5"/>
    <w:rsid w:val="008416DD"/>
    <w:rsid w:val="0084364A"/>
    <w:rsid w:val="0084382B"/>
    <w:rsid w:val="008470BC"/>
    <w:rsid w:val="00853DCF"/>
    <w:rsid w:val="008565FE"/>
    <w:rsid w:val="0085758A"/>
    <w:rsid w:val="00860DFE"/>
    <w:rsid w:val="00861596"/>
    <w:rsid w:val="00863918"/>
    <w:rsid w:val="008639FD"/>
    <w:rsid w:val="00865FF1"/>
    <w:rsid w:val="00867511"/>
    <w:rsid w:val="00872BC2"/>
    <w:rsid w:val="00873283"/>
    <w:rsid w:val="00873405"/>
    <w:rsid w:val="0087542E"/>
    <w:rsid w:val="0088568A"/>
    <w:rsid w:val="00886C09"/>
    <w:rsid w:val="008927AE"/>
    <w:rsid w:val="00894720"/>
    <w:rsid w:val="00894BA7"/>
    <w:rsid w:val="00894C7B"/>
    <w:rsid w:val="00894FC0"/>
    <w:rsid w:val="0089781D"/>
    <w:rsid w:val="008A000E"/>
    <w:rsid w:val="008A10FF"/>
    <w:rsid w:val="008A1115"/>
    <w:rsid w:val="008A11D5"/>
    <w:rsid w:val="008A2583"/>
    <w:rsid w:val="008B08DC"/>
    <w:rsid w:val="008B1488"/>
    <w:rsid w:val="008B6042"/>
    <w:rsid w:val="008B7811"/>
    <w:rsid w:val="008C37D6"/>
    <w:rsid w:val="008D13D3"/>
    <w:rsid w:val="008D475B"/>
    <w:rsid w:val="008D59E7"/>
    <w:rsid w:val="008E1576"/>
    <w:rsid w:val="008E7105"/>
    <w:rsid w:val="008F04A8"/>
    <w:rsid w:val="008F10F7"/>
    <w:rsid w:val="008F37FC"/>
    <w:rsid w:val="008F6734"/>
    <w:rsid w:val="008F6E75"/>
    <w:rsid w:val="008F7D27"/>
    <w:rsid w:val="00900AC0"/>
    <w:rsid w:val="00902AE4"/>
    <w:rsid w:val="0091112F"/>
    <w:rsid w:val="0091116E"/>
    <w:rsid w:val="009126D3"/>
    <w:rsid w:val="00917832"/>
    <w:rsid w:val="00925DBD"/>
    <w:rsid w:val="009303BB"/>
    <w:rsid w:val="00933002"/>
    <w:rsid w:val="00937BB9"/>
    <w:rsid w:val="00943888"/>
    <w:rsid w:val="009458EF"/>
    <w:rsid w:val="00947750"/>
    <w:rsid w:val="00952299"/>
    <w:rsid w:val="009547EB"/>
    <w:rsid w:val="0095481F"/>
    <w:rsid w:val="00954850"/>
    <w:rsid w:val="00954979"/>
    <w:rsid w:val="00954DE7"/>
    <w:rsid w:val="00955065"/>
    <w:rsid w:val="009651E5"/>
    <w:rsid w:val="00965D17"/>
    <w:rsid w:val="009660E2"/>
    <w:rsid w:val="00972FFB"/>
    <w:rsid w:val="00975199"/>
    <w:rsid w:val="00977D3F"/>
    <w:rsid w:val="009848C3"/>
    <w:rsid w:val="00984F15"/>
    <w:rsid w:val="00993769"/>
    <w:rsid w:val="00996F8D"/>
    <w:rsid w:val="009A098E"/>
    <w:rsid w:val="009A1651"/>
    <w:rsid w:val="009A6C95"/>
    <w:rsid w:val="009A7F64"/>
    <w:rsid w:val="009B0EBD"/>
    <w:rsid w:val="009B10E3"/>
    <w:rsid w:val="009B22A1"/>
    <w:rsid w:val="009B4D29"/>
    <w:rsid w:val="009B65C7"/>
    <w:rsid w:val="009B6E32"/>
    <w:rsid w:val="009B7757"/>
    <w:rsid w:val="009C0BDE"/>
    <w:rsid w:val="009C1F7A"/>
    <w:rsid w:val="009C2778"/>
    <w:rsid w:val="009C38DA"/>
    <w:rsid w:val="009C561F"/>
    <w:rsid w:val="009D0EFC"/>
    <w:rsid w:val="009D5CBA"/>
    <w:rsid w:val="009D772E"/>
    <w:rsid w:val="009D773A"/>
    <w:rsid w:val="009E2FA2"/>
    <w:rsid w:val="009E3B5F"/>
    <w:rsid w:val="009F2263"/>
    <w:rsid w:val="00A00251"/>
    <w:rsid w:val="00A021A4"/>
    <w:rsid w:val="00A0531C"/>
    <w:rsid w:val="00A06423"/>
    <w:rsid w:val="00A06E2D"/>
    <w:rsid w:val="00A1108F"/>
    <w:rsid w:val="00A11FBF"/>
    <w:rsid w:val="00A12EE5"/>
    <w:rsid w:val="00A16C8B"/>
    <w:rsid w:val="00A17CD6"/>
    <w:rsid w:val="00A2067B"/>
    <w:rsid w:val="00A220C9"/>
    <w:rsid w:val="00A2261D"/>
    <w:rsid w:val="00A24DA1"/>
    <w:rsid w:val="00A27A10"/>
    <w:rsid w:val="00A27E97"/>
    <w:rsid w:val="00A41BC7"/>
    <w:rsid w:val="00A50EDB"/>
    <w:rsid w:val="00A54CF2"/>
    <w:rsid w:val="00A564F4"/>
    <w:rsid w:val="00A57A69"/>
    <w:rsid w:val="00A6163B"/>
    <w:rsid w:val="00A6325D"/>
    <w:rsid w:val="00A6668B"/>
    <w:rsid w:val="00A71158"/>
    <w:rsid w:val="00A7377B"/>
    <w:rsid w:val="00A81133"/>
    <w:rsid w:val="00A8291F"/>
    <w:rsid w:val="00A850E3"/>
    <w:rsid w:val="00A8791B"/>
    <w:rsid w:val="00A91107"/>
    <w:rsid w:val="00A9269F"/>
    <w:rsid w:val="00AA11CD"/>
    <w:rsid w:val="00AA702B"/>
    <w:rsid w:val="00AA7447"/>
    <w:rsid w:val="00AB332E"/>
    <w:rsid w:val="00AC0C6E"/>
    <w:rsid w:val="00AC0D1A"/>
    <w:rsid w:val="00AD1B46"/>
    <w:rsid w:val="00AD23FE"/>
    <w:rsid w:val="00AE165D"/>
    <w:rsid w:val="00AE4298"/>
    <w:rsid w:val="00AE4730"/>
    <w:rsid w:val="00AE4E32"/>
    <w:rsid w:val="00AF1B4F"/>
    <w:rsid w:val="00AF1D9D"/>
    <w:rsid w:val="00AF2D27"/>
    <w:rsid w:val="00AF3B94"/>
    <w:rsid w:val="00B07D91"/>
    <w:rsid w:val="00B133D0"/>
    <w:rsid w:val="00B16D48"/>
    <w:rsid w:val="00B16D80"/>
    <w:rsid w:val="00B2055F"/>
    <w:rsid w:val="00B21175"/>
    <w:rsid w:val="00B21ABD"/>
    <w:rsid w:val="00B24F9F"/>
    <w:rsid w:val="00B25FD4"/>
    <w:rsid w:val="00B30D47"/>
    <w:rsid w:val="00B33183"/>
    <w:rsid w:val="00B367E2"/>
    <w:rsid w:val="00B450CD"/>
    <w:rsid w:val="00B46A55"/>
    <w:rsid w:val="00B50470"/>
    <w:rsid w:val="00B511DA"/>
    <w:rsid w:val="00B53402"/>
    <w:rsid w:val="00B5519B"/>
    <w:rsid w:val="00B566A5"/>
    <w:rsid w:val="00B61C53"/>
    <w:rsid w:val="00B61E3C"/>
    <w:rsid w:val="00B6492F"/>
    <w:rsid w:val="00B64BA1"/>
    <w:rsid w:val="00B67CB5"/>
    <w:rsid w:val="00B711FC"/>
    <w:rsid w:val="00B727F6"/>
    <w:rsid w:val="00B74D28"/>
    <w:rsid w:val="00B761EE"/>
    <w:rsid w:val="00B77F91"/>
    <w:rsid w:val="00B814CD"/>
    <w:rsid w:val="00B82A81"/>
    <w:rsid w:val="00B83D0F"/>
    <w:rsid w:val="00B97CFF"/>
    <w:rsid w:val="00BA0A7F"/>
    <w:rsid w:val="00BA2338"/>
    <w:rsid w:val="00BA524D"/>
    <w:rsid w:val="00BB5DBB"/>
    <w:rsid w:val="00BC4B6D"/>
    <w:rsid w:val="00BC5CA0"/>
    <w:rsid w:val="00BC6E21"/>
    <w:rsid w:val="00BC7AA9"/>
    <w:rsid w:val="00BD323A"/>
    <w:rsid w:val="00BD636A"/>
    <w:rsid w:val="00BD74F9"/>
    <w:rsid w:val="00BD7ABC"/>
    <w:rsid w:val="00BE6EBA"/>
    <w:rsid w:val="00BF2BB9"/>
    <w:rsid w:val="00BF2EAF"/>
    <w:rsid w:val="00C01350"/>
    <w:rsid w:val="00C01FC2"/>
    <w:rsid w:val="00C02740"/>
    <w:rsid w:val="00C06D7B"/>
    <w:rsid w:val="00C074C2"/>
    <w:rsid w:val="00C07610"/>
    <w:rsid w:val="00C10F20"/>
    <w:rsid w:val="00C12A42"/>
    <w:rsid w:val="00C13F06"/>
    <w:rsid w:val="00C1417F"/>
    <w:rsid w:val="00C14927"/>
    <w:rsid w:val="00C20D6A"/>
    <w:rsid w:val="00C267D2"/>
    <w:rsid w:val="00C32A1D"/>
    <w:rsid w:val="00C36268"/>
    <w:rsid w:val="00C41313"/>
    <w:rsid w:val="00C43773"/>
    <w:rsid w:val="00C4621A"/>
    <w:rsid w:val="00C51DF9"/>
    <w:rsid w:val="00C57D9D"/>
    <w:rsid w:val="00C62BF8"/>
    <w:rsid w:val="00C70C9B"/>
    <w:rsid w:val="00C72D54"/>
    <w:rsid w:val="00C72F82"/>
    <w:rsid w:val="00C732AA"/>
    <w:rsid w:val="00C755D4"/>
    <w:rsid w:val="00C811EF"/>
    <w:rsid w:val="00C81D2B"/>
    <w:rsid w:val="00C84112"/>
    <w:rsid w:val="00C86E81"/>
    <w:rsid w:val="00C90A66"/>
    <w:rsid w:val="00C93CDF"/>
    <w:rsid w:val="00C9542A"/>
    <w:rsid w:val="00CA28A8"/>
    <w:rsid w:val="00CA60C0"/>
    <w:rsid w:val="00CB025F"/>
    <w:rsid w:val="00CB3527"/>
    <w:rsid w:val="00CB47F2"/>
    <w:rsid w:val="00CB51AB"/>
    <w:rsid w:val="00CB5D68"/>
    <w:rsid w:val="00CB6CCE"/>
    <w:rsid w:val="00CB6ED6"/>
    <w:rsid w:val="00CB7C6E"/>
    <w:rsid w:val="00CC0DB4"/>
    <w:rsid w:val="00CC1BFE"/>
    <w:rsid w:val="00CC2BC5"/>
    <w:rsid w:val="00CC4569"/>
    <w:rsid w:val="00CD037C"/>
    <w:rsid w:val="00CD407B"/>
    <w:rsid w:val="00CE1953"/>
    <w:rsid w:val="00CE2600"/>
    <w:rsid w:val="00CE3065"/>
    <w:rsid w:val="00CE7136"/>
    <w:rsid w:val="00CF07A3"/>
    <w:rsid w:val="00CF1B7A"/>
    <w:rsid w:val="00CF1FA7"/>
    <w:rsid w:val="00CF2728"/>
    <w:rsid w:val="00CF6B42"/>
    <w:rsid w:val="00CF6C93"/>
    <w:rsid w:val="00CF70F8"/>
    <w:rsid w:val="00D02B57"/>
    <w:rsid w:val="00D07066"/>
    <w:rsid w:val="00D11D8D"/>
    <w:rsid w:val="00D14A33"/>
    <w:rsid w:val="00D173AD"/>
    <w:rsid w:val="00D17D14"/>
    <w:rsid w:val="00D24E5D"/>
    <w:rsid w:val="00D27E83"/>
    <w:rsid w:val="00D31DF5"/>
    <w:rsid w:val="00D34360"/>
    <w:rsid w:val="00D3488F"/>
    <w:rsid w:val="00D36676"/>
    <w:rsid w:val="00D44B39"/>
    <w:rsid w:val="00D478F3"/>
    <w:rsid w:val="00D535CB"/>
    <w:rsid w:val="00D57E41"/>
    <w:rsid w:val="00D60C21"/>
    <w:rsid w:val="00D62554"/>
    <w:rsid w:val="00D632AC"/>
    <w:rsid w:val="00D63648"/>
    <w:rsid w:val="00D64E0E"/>
    <w:rsid w:val="00D651AD"/>
    <w:rsid w:val="00D65C7C"/>
    <w:rsid w:val="00D821D6"/>
    <w:rsid w:val="00D83F5A"/>
    <w:rsid w:val="00D92EDB"/>
    <w:rsid w:val="00D93912"/>
    <w:rsid w:val="00DA06AD"/>
    <w:rsid w:val="00DA1A99"/>
    <w:rsid w:val="00DA1DF7"/>
    <w:rsid w:val="00DA3372"/>
    <w:rsid w:val="00DA37A5"/>
    <w:rsid w:val="00DA385B"/>
    <w:rsid w:val="00DA3F49"/>
    <w:rsid w:val="00DB017A"/>
    <w:rsid w:val="00DB48D4"/>
    <w:rsid w:val="00DB4B0E"/>
    <w:rsid w:val="00DB7660"/>
    <w:rsid w:val="00DB7AED"/>
    <w:rsid w:val="00DC6BBC"/>
    <w:rsid w:val="00DC72FE"/>
    <w:rsid w:val="00DD17F1"/>
    <w:rsid w:val="00DD508F"/>
    <w:rsid w:val="00DD57D8"/>
    <w:rsid w:val="00DE1BD7"/>
    <w:rsid w:val="00DE3FEA"/>
    <w:rsid w:val="00DE58A6"/>
    <w:rsid w:val="00DF3F70"/>
    <w:rsid w:val="00DF4C25"/>
    <w:rsid w:val="00E02434"/>
    <w:rsid w:val="00E059EC"/>
    <w:rsid w:val="00E05EE0"/>
    <w:rsid w:val="00E0778A"/>
    <w:rsid w:val="00E10B40"/>
    <w:rsid w:val="00E10F7A"/>
    <w:rsid w:val="00E1687D"/>
    <w:rsid w:val="00E16A1D"/>
    <w:rsid w:val="00E17ABD"/>
    <w:rsid w:val="00E2046A"/>
    <w:rsid w:val="00E21305"/>
    <w:rsid w:val="00E217E6"/>
    <w:rsid w:val="00E2356B"/>
    <w:rsid w:val="00E23730"/>
    <w:rsid w:val="00E23DCF"/>
    <w:rsid w:val="00E2528C"/>
    <w:rsid w:val="00E33F05"/>
    <w:rsid w:val="00E35696"/>
    <w:rsid w:val="00E35ED6"/>
    <w:rsid w:val="00E41C1E"/>
    <w:rsid w:val="00E4765E"/>
    <w:rsid w:val="00E573D5"/>
    <w:rsid w:val="00E578BA"/>
    <w:rsid w:val="00E63373"/>
    <w:rsid w:val="00E65F03"/>
    <w:rsid w:val="00E704A2"/>
    <w:rsid w:val="00E7348A"/>
    <w:rsid w:val="00E76B5E"/>
    <w:rsid w:val="00E809EF"/>
    <w:rsid w:val="00E80F11"/>
    <w:rsid w:val="00E814A2"/>
    <w:rsid w:val="00E845C5"/>
    <w:rsid w:val="00E86D13"/>
    <w:rsid w:val="00E91750"/>
    <w:rsid w:val="00E91BB7"/>
    <w:rsid w:val="00E92FFF"/>
    <w:rsid w:val="00E95E9B"/>
    <w:rsid w:val="00E97B64"/>
    <w:rsid w:val="00EA2A18"/>
    <w:rsid w:val="00EA307E"/>
    <w:rsid w:val="00EA6FA8"/>
    <w:rsid w:val="00EA77B8"/>
    <w:rsid w:val="00EB05C2"/>
    <w:rsid w:val="00EB2D69"/>
    <w:rsid w:val="00EB38FD"/>
    <w:rsid w:val="00EB3957"/>
    <w:rsid w:val="00EB7399"/>
    <w:rsid w:val="00EC3004"/>
    <w:rsid w:val="00EC342E"/>
    <w:rsid w:val="00EC4C68"/>
    <w:rsid w:val="00ED22D7"/>
    <w:rsid w:val="00ED51FB"/>
    <w:rsid w:val="00ED788A"/>
    <w:rsid w:val="00EE1417"/>
    <w:rsid w:val="00EE3874"/>
    <w:rsid w:val="00EE7701"/>
    <w:rsid w:val="00EF1583"/>
    <w:rsid w:val="00EF3504"/>
    <w:rsid w:val="00EF41CB"/>
    <w:rsid w:val="00EF5CC9"/>
    <w:rsid w:val="00EF76E7"/>
    <w:rsid w:val="00EF76FC"/>
    <w:rsid w:val="00F01207"/>
    <w:rsid w:val="00F028A0"/>
    <w:rsid w:val="00F055C6"/>
    <w:rsid w:val="00F06DD2"/>
    <w:rsid w:val="00F07E8C"/>
    <w:rsid w:val="00F126BD"/>
    <w:rsid w:val="00F13859"/>
    <w:rsid w:val="00F1435B"/>
    <w:rsid w:val="00F206E5"/>
    <w:rsid w:val="00F2102D"/>
    <w:rsid w:val="00F23A09"/>
    <w:rsid w:val="00F25159"/>
    <w:rsid w:val="00F3659F"/>
    <w:rsid w:val="00F37F74"/>
    <w:rsid w:val="00F40007"/>
    <w:rsid w:val="00F4264C"/>
    <w:rsid w:val="00F42B16"/>
    <w:rsid w:val="00F5347A"/>
    <w:rsid w:val="00F56BEA"/>
    <w:rsid w:val="00F5778A"/>
    <w:rsid w:val="00F6012E"/>
    <w:rsid w:val="00F60C02"/>
    <w:rsid w:val="00F64BC7"/>
    <w:rsid w:val="00F656BB"/>
    <w:rsid w:val="00F65925"/>
    <w:rsid w:val="00F65A25"/>
    <w:rsid w:val="00F67F18"/>
    <w:rsid w:val="00F744DA"/>
    <w:rsid w:val="00F76972"/>
    <w:rsid w:val="00F80BA0"/>
    <w:rsid w:val="00F81B87"/>
    <w:rsid w:val="00F8377E"/>
    <w:rsid w:val="00F83A8C"/>
    <w:rsid w:val="00F84C70"/>
    <w:rsid w:val="00F84E52"/>
    <w:rsid w:val="00F903B4"/>
    <w:rsid w:val="00F90F03"/>
    <w:rsid w:val="00F91512"/>
    <w:rsid w:val="00F93809"/>
    <w:rsid w:val="00F968C8"/>
    <w:rsid w:val="00F96FB5"/>
    <w:rsid w:val="00FA1814"/>
    <w:rsid w:val="00FB162B"/>
    <w:rsid w:val="00FB27CA"/>
    <w:rsid w:val="00FB2814"/>
    <w:rsid w:val="00FB3EA8"/>
    <w:rsid w:val="00FC1A93"/>
    <w:rsid w:val="00FC23DA"/>
    <w:rsid w:val="00FC39C4"/>
    <w:rsid w:val="00FC3C4E"/>
    <w:rsid w:val="00FC4A8A"/>
    <w:rsid w:val="00FC7610"/>
    <w:rsid w:val="00FD2113"/>
    <w:rsid w:val="00FD59B1"/>
    <w:rsid w:val="00FE2423"/>
    <w:rsid w:val="00FE4690"/>
    <w:rsid w:val="00FE4C13"/>
    <w:rsid w:val="00FF4886"/>
    <w:rsid w:val="00FF785E"/>
    <w:rsid w:val="00FF7AEC"/>
    <w:rsid w:val="6BAF5751"/>
  </w:rsids>
  <m:mathPr>
    <m:mathFont m:val="Cambria Math"/>
    <m:brkBin m:val="before"/>
    <m:brkBinSub m:val="--"/>
    <m:smallFrac m:val="0"/>
    <m:dispDef/>
    <m:lMargin m:val="0"/>
    <m:rMargin m:val="0"/>
    <m:defJc m:val="centerGroup"/>
    <m:wrapRight m:val="1"/>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name="heading 2"/>
    <w:lsdException w:qFormat="1" w:uiPriority="99" w:name="heading 3"/>
    <w:lsdException w:qFormat="1" w:uiPriority="99" w:name="heading 4"/>
    <w:lsdException w:qFormat="1" w:uiPriority="99" w:name="heading 5"/>
    <w:lsdException w:qFormat="1" w:uiPriority="99" w:name="heading 6"/>
    <w:lsdException w:qFormat="1" w:uiPriority="99" w:name="heading 7"/>
    <w:lsdException w:qFormat="1" w:uiPriority="99" w:name="heading 8"/>
    <w:lsdException w:qFormat="1"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qFormat="1" w:uiPriority="0" w:semiHidden="0" w:name="annotation text"/>
    <w:lsdException w:uiPriority="99" w:semiHidden="0" w:name="header"/>
    <w:lsdException w:uiPriority="99" w:semiHidden="0" w:name="footer"/>
    <w:lsdException w:uiPriority="99" w:name="index heading"/>
    <w:lsdException w:qFormat="1" w:uiPriority="99"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99"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paragraph" w:styleId="2">
    <w:name w:val="heading 1"/>
    <w:basedOn w:val="1"/>
    <w:next w:val="1"/>
    <w:link w:val="14"/>
    <w:qFormat/>
    <w:uiPriority w:val="99"/>
    <w:pPr>
      <w:keepNext/>
      <w:keepLines/>
      <w:spacing w:before="240"/>
      <w:outlineLvl w:val="0"/>
    </w:pPr>
    <w:rPr>
      <w:rFonts w:asciiTheme="majorHAnsi" w:hAnsiTheme="majorHAnsi" w:eastAsiaTheme="majorEastAsia" w:cstheme="majorBidi"/>
      <w:color w:val="104862" w:themeColor="accent1" w:themeShade="BF"/>
      <w:sz w:val="32"/>
      <w:szCs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annotation reference"/>
    <w:basedOn w:val="3"/>
    <w:semiHidden/>
    <w:unhideWhenUsed/>
    <w:qFormat/>
    <w:uiPriority w:val="0"/>
    <w:rPr>
      <w:sz w:val="16"/>
      <w:szCs w:val="16"/>
    </w:rPr>
  </w:style>
  <w:style w:type="paragraph" w:styleId="6">
    <w:name w:val="annotation text"/>
    <w:basedOn w:val="1"/>
    <w:link w:val="15"/>
    <w:unhideWhenUsed/>
    <w:qFormat/>
    <w:uiPriority w:val="0"/>
    <w:rPr>
      <w:sz w:val="20"/>
      <w:szCs w:val="20"/>
    </w:rPr>
  </w:style>
  <w:style w:type="paragraph" w:styleId="7">
    <w:name w:val="footer"/>
    <w:basedOn w:val="1"/>
    <w:link w:val="12"/>
    <w:unhideWhenUsed/>
    <w:uiPriority w:val="99"/>
    <w:pPr>
      <w:tabs>
        <w:tab w:val="center" w:pos="4680"/>
        <w:tab w:val="right" w:pos="9360"/>
      </w:tabs>
    </w:pPr>
  </w:style>
  <w:style w:type="paragraph" w:styleId="8">
    <w:name w:val="header"/>
    <w:basedOn w:val="1"/>
    <w:link w:val="11"/>
    <w:unhideWhenUsed/>
    <w:uiPriority w:val="99"/>
    <w:pPr>
      <w:tabs>
        <w:tab w:val="center" w:pos="4680"/>
        <w:tab w:val="right" w:pos="9360"/>
      </w:tabs>
    </w:pPr>
  </w:style>
  <w:style w:type="paragraph" w:styleId="9">
    <w:name w:val="Normal (Web)"/>
    <w:basedOn w:val="1"/>
    <w:unhideWhenUsed/>
    <w:qFormat/>
    <w:uiPriority w:val="99"/>
    <w:pPr>
      <w:spacing w:before="100" w:beforeAutospacing="1" w:after="100" w:afterAutospacing="1"/>
    </w:pPr>
  </w:style>
  <w:style w:type="character" w:styleId="10">
    <w:name w:val="Strong"/>
    <w:basedOn w:val="3"/>
    <w:qFormat/>
    <w:uiPriority w:val="22"/>
    <w:rPr>
      <w:b/>
      <w:bCs/>
    </w:rPr>
  </w:style>
  <w:style w:type="character" w:customStyle="1" w:styleId="11">
    <w:name w:val="Header Char"/>
    <w:link w:val="8"/>
    <w:uiPriority w:val="99"/>
    <w:rPr>
      <w:sz w:val="24"/>
      <w:szCs w:val="24"/>
    </w:rPr>
  </w:style>
  <w:style w:type="character" w:customStyle="1" w:styleId="12">
    <w:name w:val="Footer Char"/>
    <w:link w:val="7"/>
    <w:uiPriority w:val="99"/>
    <w:rPr>
      <w:sz w:val="24"/>
      <w:szCs w:val="24"/>
    </w:rPr>
  </w:style>
  <w:style w:type="paragraph" w:styleId="13">
    <w:name w:val="List Paragraph"/>
    <w:basedOn w:val="1"/>
    <w:qFormat/>
    <w:uiPriority w:val="99"/>
    <w:pPr>
      <w:ind w:left="720"/>
      <w:contextualSpacing/>
    </w:pPr>
  </w:style>
  <w:style w:type="character" w:customStyle="1" w:styleId="14">
    <w:name w:val="Heading 1 Char"/>
    <w:basedOn w:val="3"/>
    <w:link w:val="2"/>
    <w:qFormat/>
    <w:uiPriority w:val="99"/>
    <w:rPr>
      <w:rFonts w:asciiTheme="majorHAnsi" w:hAnsiTheme="majorHAnsi" w:eastAsiaTheme="majorEastAsia" w:cstheme="majorBidi"/>
      <w:color w:val="104862" w:themeColor="accent1" w:themeShade="BF"/>
      <w:sz w:val="32"/>
      <w:szCs w:val="32"/>
    </w:rPr>
  </w:style>
  <w:style w:type="character" w:customStyle="1" w:styleId="15">
    <w:name w:val="Comment Text Char"/>
    <w:basedOn w:val="3"/>
    <w:link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209660-E975-4506-A4DA-9EB89DF36861}">
  <ds:schemaRefs/>
</ds:datastoreItem>
</file>

<file path=docProps/app.xml><?xml version="1.0" encoding="utf-8"?>
<Properties xmlns="http://schemas.openxmlformats.org/officeDocument/2006/extended-properties" xmlns:vt="http://schemas.openxmlformats.org/officeDocument/2006/docPropsVTypes">
  <Template>Normal</Template>
  <Pages>3</Pages>
  <Words>1472</Words>
  <Characters>5326</Characters>
  <Lines>48</Lines>
  <Paragraphs>13</Paragraphs>
  <TotalTime>2</TotalTime>
  <ScaleCrop>false</ScaleCrop>
  <LinksUpToDate>false</LinksUpToDate>
  <CharactersWithSpaces>6846</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2026-10-03T13:35:00Z</dcterms:created>
  <dc:creator>HP</dc:creator>
  <cp:lastModifiedBy>user</cp:lastModifiedBy>
  <cp:lastPrinted>2026-07-28T07:03:00Z</cp:lastPrinted>
  <dcterms:modified xsi:type="dcterms:W3CDTF">2026-10-07T01:19:54Z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D8F8C8AAC9B54D4EA0352C9D0CF32DC4_13</vt:lpwstr>
  </property>
</Properties>
</file>