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0" w:type="auto"/>
        <w:jc w:val="center"/>
        <w:tblLayout w:type="autofit"/>
        <w:tblCellMar>
          <w:top w:w="0" w:type="dxa"/>
          <w:left w:w="108" w:type="dxa"/>
          <w:bottom w:w="0" w:type="dxa"/>
          <w:right w:w="108" w:type="dxa"/>
        </w:tblCellMar>
      </w:tblPr>
      <w:tblGrid>
        <w:gridCol w:w="3369"/>
        <w:gridCol w:w="5918"/>
      </w:tblGrid>
      <w:tr w14:paraId="09F72DDF">
        <w:tblPrEx>
          <w:tblCellMar>
            <w:top w:w="0" w:type="dxa"/>
            <w:left w:w="108" w:type="dxa"/>
            <w:bottom w:w="0" w:type="dxa"/>
            <w:right w:w="108" w:type="dxa"/>
          </w:tblCellMar>
        </w:tblPrEx>
        <w:trPr>
          <w:jc w:val="center"/>
        </w:trPr>
        <w:tc>
          <w:tcPr>
            <w:tcW w:w="3369" w:type="dxa"/>
          </w:tcPr>
          <w:p w14:paraId="52894F9C">
            <w:pPr>
              <w:spacing w:after="0" w:line="240" w:lineRule="auto"/>
              <w:jc w:val="center"/>
              <w:rPr>
                <w:color w:val="000000" w:themeColor="text1"/>
                <w:sz w:val="26"/>
                <w:szCs w:val="26"/>
                <w14:textFill>
                  <w14:solidFill>
                    <w14:schemeClr w14:val="tx1"/>
                  </w14:solidFill>
                </w14:textFill>
              </w:rPr>
            </w:pPr>
            <w:bookmarkStart w:id="1" w:name="_GoBack"/>
            <w:bookmarkEnd w:id="1"/>
            <w:r>
              <w:rPr>
                <w:b/>
                <w:color w:val="000000" w:themeColor="text1"/>
                <w:sz w:val="26"/>
                <w:szCs w:val="26"/>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662940</wp:posOffset>
                      </wp:positionH>
                      <wp:positionV relativeFrom="paragraph">
                        <wp:posOffset>422910</wp:posOffset>
                      </wp:positionV>
                      <wp:extent cx="6286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28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52.2pt;margin-top:33.3pt;height:0pt;width:49.5pt;z-index:251659264;mso-width-relative:page;mso-height-relative:page;" filled="f" stroked="t" coordsize="21600,21600" o:gfxdata="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7WdzetUAAAAJAQAADwAAAAAA&#10;AAABACAAAAAiAAAAZHJzL2Rvd25yZXYueG1sUEsBAhQAFAAAAAgAh07iQOTMCiPdAQAA1QMAAA4A&#10;AAAAAAAAAQAgAAAAJAEAAGRycy9lMm9Eb2MueG1sUEsFBgAAAAAGAAYAWQEAAHMFAAAAAA==&#10;">
                      <v:fill on="f" focussize="0,0"/>
                      <v:stroke color="#000000 [3200]" joinstyle="round"/>
                      <v:imagedata o:title=""/>
                      <o:lock v:ext="edit" aspectratio="f"/>
                    </v:line>
                  </w:pict>
                </mc:Fallback>
              </mc:AlternateContent>
            </w:r>
            <w:r>
              <w:rPr>
                <w:b/>
                <w:color w:val="000000" w:themeColor="text1"/>
                <w:sz w:val="26"/>
                <w:szCs w:val="26"/>
                <w14:textFill>
                  <w14:solidFill>
                    <w14:schemeClr w14:val="tx1"/>
                  </w14:solidFill>
                </w14:textFill>
              </w:rPr>
              <w:t>HỘI ĐỒNG NHÂN DÂN</w:t>
            </w:r>
            <w:r>
              <w:rPr>
                <w:b/>
                <w:color w:val="000000" w:themeColor="text1"/>
                <w:sz w:val="26"/>
                <w:szCs w:val="26"/>
                <w14:textFill>
                  <w14:solidFill>
                    <w14:schemeClr w14:val="tx1"/>
                  </w14:solidFill>
                </w14:textFill>
              </w:rPr>
              <w:br w:type="textWrapping"/>
            </w:r>
            <w:r>
              <w:rPr>
                <w:b/>
                <w:color w:val="000000" w:themeColor="text1"/>
                <w:sz w:val="26"/>
                <w:szCs w:val="26"/>
                <w14:textFill>
                  <w14:solidFill>
                    <w14:schemeClr w14:val="tx1"/>
                  </w14:solidFill>
                </w14:textFill>
              </w:rPr>
              <w:t>TỈNH HÀ TĨNH</w:t>
            </w:r>
          </w:p>
        </w:tc>
        <w:tc>
          <w:tcPr>
            <w:tcW w:w="5918" w:type="dxa"/>
          </w:tcPr>
          <w:p w14:paraId="5D9B99AB">
            <w:pPr>
              <w:spacing w:after="0" w:line="240" w:lineRule="auto"/>
              <w:jc w:val="center"/>
              <w:rPr>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742315</wp:posOffset>
                      </wp:positionH>
                      <wp:positionV relativeFrom="paragraph">
                        <wp:posOffset>441960</wp:posOffset>
                      </wp:positionV>
                      <wp:extent cx="20859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58.45pt;margin-top:34.8pt;height:0pt;width:164.25pt;z-index:251660288;mso-width-relative:page;mso-height-relative:page;" filled="f" stroked="t" coordsize="21600,21600" o:gfxdata="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zJMTe1gAAAAkBAAAPAAAA&#10;AAAAAAEAIAAAACIAAABkcnMvZG93bnJldi54bWxQSwECFAAUAAAACACHTuJAveIqoN4BAADWAwAA&#10;DgAAAAAAAAABACAAAAAlAQAAZHJzL2Uyb0RvYy54bWxQSwUGAAAAAAYABgBZAQAAdQUAAAAA&#10;">
                      <v:fill on="f" focussize="0,0"/>
                      <v:stroke color="#000000 [3200]" joinstyle="round"/>
                      <v:imagedata o:title=""/>
                      <o:lock v:ext="edit" aspectratio="f"/>
                    </v:line>
                  </w:pict>
                </mc:Fallback>
              </mc:AlternateContent>
            </w:r>
            <w:r>
              <w:rPr>
                <w:b/>
                <w:color w:val="000000" w:themeColor="text1"/>
                <w:sz w:val="26"/>
                <w:szCs w:val="26"/>
                <w14:textFill>
                  <w14:solidFill>
                    <w14:schemeClr w14:val="tx1"/>
                  </w14:solidFill>
                </w14:textFill>
              </w:rPr>
              <w:t>CỘNG HÒA XÃ HỘI CHỦ NGHĨA VIỆT NAM</w:t>
            </w:r>
            <w:r>
              <w:rPr>
                <w:b/>
                <w:color w:val="000000" w:themeColor="text1"/>
                <w:sz w:val="26"/>
                <w:szCs w:val="26"/>
                <w14:textFill>
                  <w14:solidFill>
                    <w14:schemeClr w14:val="tx1"/>
                  </w14:solidFill>
                </w14:textFill>
              </w:rPr>
              <w:br w:type="textWrapping"/>
            </w:r>
            <w:r>
              <w:rPr>
                <w:b/>
                <w:color w:val="000000" w:themeColor="text1"/>
                <w:szCs w:val="28"/>
                <w14:textFill>
                  <w14:solidFill>
                    <w14:schemeClr w14:val="tx1"/>
                  </w14:solidFill>
                </w14:textFill>
              </w:rPr>
              <w:t>Độc lập - Tự do - Hạnh phúc</w:t>
            </w:r>
            <w:r>
              <w:rPr>
                <w:b/>
                <w:color w:val="000000" w:themeColor="text1"/>
                <w:szCs w:val="28"/>
                <w14:textFill>
                  <w14:solidFill>
                    <w14:schemeClr w14:val="tx1"/>
                  </w14:solidFill>
                </w14:textFill>
              </w:rPr>
              <w:br w:type="textWrapping"/>
            </w:r>
          </w:p>
        </w:tc>
      </w:tr>
      <w:tr w14:paraId="789A7FD3">
        <w:tblPrEx>
          <w:tblCellMar>
            <w:top w:w="0" w:type="dxa"/>
            <w:left w:w="108" w:type="dxa"/>
            <w:bottom w:w="0" w:type="dxa"/>
            <w:right w:w="108" w:type="dxa"/>
          </w:tblCellMar>
        </w:tblPrEx>
        <w:trPr>
          <w:trHeight w:val="470" w:hRule="atLeast"/>
          <w:jc w:val="center"/>
        </w:trPr>
        <w:tc>
          <w:tcPr>
            <w:tcW w:w="3369" w:type="dxa"/>
          </w:tcPr>
          <w:p w14:paraId="25F79DE1">
            <w:pPr>
              <w:spacing w:after="0" w:line="240" w:lineRule="auto"/>
              <w:jc w:val="center"/>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Số:       /2026/NQ-HĐND</w:t>
            </w:r>
          </w:p>
        </w:tc>
        <w:tc>
          <w:tcPr>
            <w:tcW w:w="5918" w:type="dxa"/>
          </w:tcPr>
          <w:p w14:paraId="5F73A17B">
            <w:pPr>
              <w:spacing w:after="0" w:line="240" w:lineRule="auto"/>
              <w:jc w:val="center"/>
              <w:rPr>
                <w:i/>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            </w:t>
            </w:r>
            <w:r>
              <w:rPr>
                <w:i/>
                <w:color w:val="000000" w:themeColor="text1"/>
                <w:sz w:val="26"/>
                <w:szCs w:val="26"/>
                <w14:textFill>
                  <w14:solidFill>
                    <w14:schemeClr w14:val="tx1"/>
                  </w14:solidFill>
                </w14:textFill>
              </w:rPr>
              <w:t>Hà Tĩnh, ngày      tháng       năm 2026</w:t>
            </w:r>
          </w:p>
        </w:tc>
      </w:tr>
    </w:tbl>
    <w:p w14:paraId="64935136">
      <w:pPr>
        <w:spacing w:after="0"/>
        <w:jc w:val="left"/>
        <w:rPr>
          <w:b/>
          <w:color w:val="000000" w:themeColor="text1"/>
          <w14:textFill>
            <w14:solidFill>
              <w14:schemeClr w14:val="tx1"/>
            </w14:solidFill>
          </w14:textFill>
        </w:rPr>
      </w:pPr>
      <w:r>
        <w:rPr>
          <w:b/>
          <w:color w:val="000000" w:themeColor="text1"/>
          <w14:textFill>
            <w14:solidFill>
              <w14:schemeClr w14:val="tx1"/>
            </w14:solidFill>
          </w14:textFill>
        </w:rPr>
        <w:t xml:space="preserve">            (DỰ THẢO)</w:t>
      </w:r>
    </w:p>
    <w:p w14:paraId="1FCFCFE2">
      <w:pPr>
        <w:spacing w:after="0" w:line="240" w:lineRule="auto"/>
        <w:jc w:val="center"/>
        <w:rPr>
          <w:b/>
          <w:color w:val="000000" w:themeColor="text1"/>
          <w14:textFill>
            <w14:solidFill>
              <w14:schemeClr w14:val="tx1"/>
            </w14:solidFill>
          </w14:textFill>
        </w:rPr>
      </w:pPr>
      <w:r>
        <w:rPr>
          <w:b/>
          <w:bCs/>
          <w:color w:val="000000" w:themeColor="text1"/>
          <w14:textFill>
            <w14:solidFill>
              <w14:schemeClr w14:val="tx1"/>
            </w14:solidFill>
          </w14:textFill>
        </w:rPr>
        <w:t>NGHỊ QUYẾT</w:t>
      </w:r>
    </w:p>
    <w:p w14:paraId="543E5361">
      <w:pPr>
        <w:spacing w:after="0" w:line="240" w:lineRule="auto"/>
        <w:jc w:val="center"/>
        <w:rPr>
          <w:b/>
          <w:bCs/>
          <w:color w:val="000000" w:themeColor="text1"/>
          <w14:textFill>
            <w14:solidFill>
              <w14:schemeClr w14:val="tx1"/>
            </w14:solidFill>
          </w14:textFill>
        </w:rPr>
      </w:pPr>
      <w:r>
        <w:rPr>
          <w:b/>
          <w:bCs/>
          <w:color w:val="000000" w:themeColor="text1"/>
          <w14:textFill>
            <w14:solidFill>
              <w14:schemeClr w14:val="tx1"/>
            </w14:solidFill>
          </w14:textFill>
        </w:rPr>
        <w:t>Quy định một số chính sách về y tế, dân số và bảo trợ xã hội</w:t>
      </w:r>
    </w:p>
    <w:p w14:paraId="5263A171">
      <w:pPr>
        <w:spacing w:after="0" w:line="240" w:lineRule="auto"/>
        <w:jc w:val="center"/>
        <w:rPr>
          <w:b/>
          <w:bCs/>
          <w:color w:val="000000" w:themeColor="text1"/>
          <w14:textFill>
            <w14:solidFill>
              <w14:schemeClr w14:val="tx1"/>
            </w14:solidFill>
          </w14:textFill>
        </w:rPr>
      </w:pPr>
      <w:r>
        <w:rPr>
          <w:b/>
          <w:bCs/>
          <w:color w:val="000000" w:themeColor="text1"/>
          <w14:textFill>
            <w14:solidFill>
              <w14:schemeClr w14:val="tx1"/>
            </w14:solidFill>
          </w14:textFill>
        </w:rPr>
        <w:t>trên địa bàn tỉnh Hà Tĩnh đến năm 2030</w:t>
      </w:r>
    </w:p>
    <w:p w14:paraId="6DBDCD1D">
      <w:pPr>
        <w:spacing w:before="120" w:line="240" w:lineRule="auto"/>
        <w:ind w:firstLine="720"/>
        <w:rPr>
          <w:color w:val="000000" w:themeColor="text1"/>
          <w14:textFill>
            <w14:solidFill>
              <w14:schemeClr w14:val="tx1"/>
            </w14:solidFill>
          </w14:textFill>
        </w:rPr>
      </w:pPr>
      <w:r>
        <w:rPr>
          <w:b/>
          <w:bCs/>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2268220</wp:posOffset>
                </wp:positionH>
                <wp:positionV relativeFrom="paragraph">
                  <wp:posOffset>5715</wp:posOffset>
                </wp:positionV>
                <wp:extent cx="10668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066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78.6pt;margin-top:0.45pt;height:0pt;width:84pt;z-index:251661312;mso-width-relative:page;mso-height-relative:page;" filled="f" stroked="t" coordsize="21600,21600" o:gfxdata="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6K0yN0gAAAAUBAAAPAAAAAAAA&#10;AAEAIAAAACIAAABkcnMvZG93bnJldi54bWxQSwECFAAUAAAACACHTuJAdpq+v98BAADWAwAADgAA&#10;AAAAAAABACAAAAAhAQAAZHJzL2Uyb0RvYy54bWxQSwUGAAAAAAYABgBZAQAAcgUAAAAA&#10;">
                <v:fill on="f" focussize="0,0"/>
                <v:stroke color="#000000 [3200]" joinstyle="round"/>
                <v:imagedata o:title=""/>
                <o:lock v:ext="edit" aspectratio="f"/>
              </v:line>
            </w:pict>
          </mc:Fallback>
        </mc:AlternateContent>
      </w:r>
    </w:p>
    <w:p w14:paraId="0499C1EE">
      <w:pPr>
        <w:spacing w:before="60" w:after="60" w:line="240" w:lineRule="auto"/>
        <w:ind w:firstLine="720"/>
        <w:rPr>
          <w:i/>
          <w:iCs/>
          <w:color w:val="000000" w:themeColor="text1"/>
          <w:szCs w:val="28"/>
          <w14:textFill>
            <w14:solidFill>
              <w14:schemeClr w14:val="tx1"/>
            </w14:solidFill>
          </w14:textFill>
        </w:rPr>
      </w:pPr>
      <w:r>
        <w:rPr>
          <w:i/>
          <w:iCs/>
          <w:color w:val="000000" w:themeColor="text1"/>
          <w:szCs w:val="28"/>
          <w14:textFill>
            <w14:solidFill>
              <w14:schemeClr w14:val="tx1"/>
            </w14:solidFill>
          </w14:textFill>
        </w:rPr>
        <w:t>Căn cứ Luật Tổ chức chính quyền địa phương số 72/2025/QH15;</w:t>
      </w:r>
    </w:p>
    <w:p w14:paraId="661B5A22">
      <w:pPr>
        <w:spacing w:before="60" w:after="60" w:line="240" w:lineRule="auto"/>
        <w:ind w:firstLine="720"/>
        <w:rPr>
          <w:i/>
          <w:iCs/>
          <w:color w:val="000000" w:themeColor="text1"/>
          <w:szCs w:val="28"/>
          <w14:textFill>
            <w14:solidFill>
              <w14:schemeClr w14:val="tx1"/>
            </w14:solidFill>
          </w14:textFill>
        </w:rPr>
      </w:pPr>
      <w:r>
        <w:rPr>
          <w:i/>
          <w:iCs/>
          <w:color w:val="000000" w:themeColor="text1"/>
          <w:szCs w:val="28"/>
          <w14:textFill>
            <w14:solidFill>
              <w14:schemeClr w14:val="tx1"/>
            </w14:solidFill>
          </w14:textFill>
        </w:rPr>
        <w:t>Căn cứ Luật Ban hành văn bản quy phạm pháp luật số 64/2025/QH15, được sửa đổi, bổ sung bởi Luật số 87/2025/QH15;</w:t>
      </w:r>
    </w:p>
    <w:p w14:paraId="644B1C61">
      <w:pPr>
        <w:spacing w:before="60" w:after="60" w:line="240" w:lineRule="auto"/>
        <w:ind w:firstLine="720"/>
        <w:rPr>
          <w:i/>
          <w:iCs/>
          <w:color w:val="000000" w:themeColor="text1"/>
          <w:szCs w:val="28"/>
          <w14:textFill>
            <w14:solidFill>
              <w14:schemeClr w14:val="tx1"/>
            </w14:solidFill>
          </w14:textFill>
        </w:rPr>
      </w:pPr>
      <w:r>
        <w:rPr>
          <w:i/>
          <w:iCs/>
          <w:color w:val="000000" w:themeColor="text1"/>
          <w:szCs w:val="28"/>
          <w14:textFill>
            <w14:solidFill>
              <w14:schemeClr w14:val="tx1"/>
            </w14:solidFill>
          </w14:textFill>
        </w:rPr>
        <w:t>Căn cứ Luật Ngân sách nhà nước số 89/2025/QH15;</w:t>
      </w:r>
    </w:p>
    <w:p w14:paraId="06B84DDA">
      <w:pPr>
        <w:spacing w:before="60" w:after="60" w:line="240" w:lineRule="auto"/>
        <w:ind w:firstLine="720"/>
        <w:rPr>
          <w:i/>
          <w:iCs/>
          <w:color w:val="000000" w:themeColor="text1"/>
          <w:szCs w:val="28"/>
          <w14:textFill>
            <w14:solidFill>
              <w14:schemeClr w14:val="tx1"/>
            </w14:solidFill>
          </w14:textFill>
        </w:rPr>
      </w:pPr>
      <w:r>
        <w:rPr>
          <w:i/>
          <w:iCs/>
          <w:color w:val="000000" w:themeColor="text1"/>
          <w:szCs w:val="28"/>
          <w14:textFill>
            <w14:solidFill>
              <w14:schemeClr w14:val="tx1"/>
            </w14:solidFill>
          </w14:textFill>
        </w:rPr>
        <w:t xml:space="preserve">Căn cứ Luật Viên chức số 129/2025/QH15; </w:t>
      </w:r>
    </w:p>
    <w:p w14:paraId="61881CA8">
      <w:pPr>
        <w:spacing w:before="60" w:after="60" w:line="240" w:lineRule="auto"/>
        <w:ind w:firstLine="720"/>
        <w:rPr>
          <w:i/>
          <w:iCs/>
          <w:color w:val="000000" w:themeColor="text1"/>
          <w:szCs w:val="28"/>
          <w14:textFill>
            <w14:solidFill>
              <w14:schemeClr w14:val="tx1"/>
            </w14:solidFill>
          </w14:textFill>
        </w:rPr>
      </w:pPr>
      <w:r>
        <w:rPr>
          <w:i/>
          <w:iCs/>
          <w:color w:val="000000" w:themeColor="text1"/>
          <w:szCs w:val="28"/>
          <w14:textFill>
            <w14:solidFill>
              <w14:schemeClr w14:val="tx1"/>
            </w14:solidFill>
          </w14:textFill>
        </w:rPr>
        <w:t>Căn cứ Luật Người cao tuổi số 39/2009/QH12;</w:t>
      </w:r>
    </w:p>
    <w:p w14:paraId="414C8570">
      <w:pPr>
        <w:spacing w:before="60" w:after="60" w:line="240" w:lineRule="auto"/>
        <w:ind w:firstLine="720"/>
        <w:rPr>
          <w:i/>
          <w:iCs/>
          <w:color w:val="000000" w:themeColor="text1"/>
          <w:szCs w:val="28"/>
          <w14:textFill>
            <w14:solidFill>
              <w14:schemeClr w14:val="tx1"/>
            </w14:solidFill>
          </w14:textFill>
        </w:rPr>
      </w:pPr>
      <w:r>
        <w:rPr>
          <w:i/>
          <w:iCs/>
          <w:color w:val="000000" w:themeColor="text1"/>
          <w:szCs w:val="28"/>
          <w14:textFill>
            <w14:solidFill>
              <w14:schemeClr w14:val="tx1"/>
            </w14:solidFill>
          </w14:textFill>
        </w:rPr>
        <w:t>Căn cứ Luật Trẻ em số 102/2016/QH13;</w:t>
      </w:r>
    </w:p>
    <w:p w14:paraId="0356B51C">
      <w:pPr>
        <w:spacing w:before="60" w:after="60" w:line="240" w:lineRule="auto"/>
        <w:ind w:firstLine="720"/>
        <w:rPr>
          <w:i/>
          <w:iCs/>
          <w:color w:val="000000" w:themeColor="text1"/>
          <w:szCs w:val="28"/>
          <w14:textFill>
            <w14:solidFill>
              <w14:schemeClr w14:val="tx1"/>
            </w14:solidFill>
          </w14:textFill>
        </w:rPr>
      </w:pPr>
      <w:r>
        <w:rPr>
          <w:i/>
          <w:iCs/>
          <w:color w:val="000000" w:themeColor="text1"/>
          <w:szCs w:val="28"/>
          <w14:textFill>
            <w14:solidFill>
              <w14:schemeClr w14:val="tx1"/>
            </w14:solidFill>
          </w14:textFill>
        </w:rPr>
        <w:t>Căn cứ Luật Khám bệnh, chữa bệnh số 15/2023/QH15;</w:t>
      </w:r>
    </w:p>
    <w:p w14:paraId="6174F812">
      <w:pPr>
        <w:spacing w:before="60" w:after="60" w:line="240" w:lineRule="auto"/>
        <w:ind w:firstLine="720"/>
        <w:rPr>
          <w:i/>
          <w:iCs/>
          <w:color w:val="000000" w:themeColor="text1"/>
          <w:szCs w:val="28"/>
          <w14:textFill>
            <w14:solidFill>
              <w14:schemeClr w14:val="tx1"/>
            </w14:solidFill>
          </w14:textFill>
        </w:rPr>
      </w:pPr>
      <w:r>
        <w:rPr>
          <w:i/>
          <w:iCs/>
          <w:color w:val="000000" w:themeColor="text1"/>
          <w:szCs w:val="28"/>
          <w14:textFill>
            <w14:solidFill>
              <w14:schemeClr w14:val="tx1"/>
            </w14:solidFill>
          </w14:textFill>
        </w:rPr>
        <w:t>Căn cứ Luật Bảo hiểm xã hội số 41/2024/QH15;</w:t>
      </w:r>
    </w:p>
    <w:p w14:paraId="020582B8">
      <w:pPr>
        <w:spacing w:before="60" w:after="60" w:line="240" w:lineRule="auto"/>
        <w:ind w:firstLine="720"/>
        <w:rPr>
          <w:i/>
          <w:iCs/>
          <w:color w:val="000000" w:themeColor="text1"/>
          <w:szCs w:val="28"/>
          <w14:textFill>
            <w14:solidFill>
              <w14:schemeClr w14:val="tx1"/>
            </w14:solidFill>
          </w14:textFill>
        </w:rPr>
      </w:pPr>
      <w:r>
        <w:rPr>
          <w:i/>
          <w:iCs/>
          <w:color w:val="000000" w:themeColor="text1"/>
          <w:szCs w:val="28"/>
          <w14:textFill>
            <w14:solidFill>
              <w14:schemeClr w14:val="tx1"/>
            </w14:solidFill>
          </w14:textFill>
        </w:rPr>
        <w:t>Căn cứ Luật Bảo hiểm y tế số 25/2008/QH12, được sửa đổi, bổ sung bởi Luật số 46/2014/QH13 và Luật số 51/2024/QH15;</w:t>
      </w:r>
    </w:p>
    <w:p w14:paraId="11BA2570">
      <w:pPr>
        <w:spacing w:before="60" w:after="60" w:line="240" w:lineRule="auto"/>
        <w:ind w:firstLine="720"/>
        <w:rPr>
          <w:i/>
          <w:iCs/>
          <w:color w:val="000000" w:themeColor="text1"/>
          <w:szCs w:val="28"/>
          <w14:textFill>
            <w14:solidFill>
              <w14:schemeClr w14:val="tx1"/>
            </w14:solidFill>
          </w14:textFill>
        </w:rPr>
      </w:pPr>
      <w:r>
        <w:rPr>
          <w:i/>
          <w:iCs/>
          <w:color w:val="000000" w:themeColor="text1"/>
          <w:szCs w:val="28"/>
          <w14:textFill>
            <w14:solidFill>
              <w14:schemeClr w14:val="tx1"/>
            </w14:solidFill>
          </w14:textFill>
        </w:rPr>
        <w:t>Căn cứ Luật Dân số số 113/2025/QH15;</w:t>
      </w:r>
    </w:p>
    <w:p w14:paraId="68196555">
      <w:pPr>
        <w:spacing w:before="60" w:after="60" w:line="240" w:lineRule="auto"/>
        <w:ind w:firstLine="720"/>
        <w:rPr>
          <w:i/>
          <w:iCs/>
          <w:color w:val="000000" w:themeColor="text1"/>
          <w:szCs w:val="28"/>
          <w14:textFill>
            <w14:solidFill>
              <w14:schemeClr w14:val="tx1"/>
            </w14:solidFill>
          </w14:textFill>
        </w:rPr>
      </w:pPr>
      <w:r>
        <w:rPr>
          <w:i/>
          <w:iCs/>
          <w:color w:val="000000" w:themeColor="text1"/>
          <w:szCs w:val="28"/>
          <w14:textFill>
            <w14:solidFill>
              <w14:schemeClr w14:val="tx1"/>
            </w14:solidFill>
          </w14:textFill>
        </w:rPr>
        <w:t>Căn cứ các Nghị định của Chính phủ: số 78/2025/NĐ-CP quy định chi tiết một số điều và biện pháp để tổ chức, hướng dẫn thi hành Luật Ban hành văn bản quy phạm pháp luật; số 187/2025/NĐ-CP sửa đổi, bổ sung một số điều của Nghị định số 78/2025/NĐ-CP quy định chi tiết một số điều và biện pháp để tổ chức, hướng dẫn thi hành Luật Ban hành văn bản quy phạm pháp luật; số 79/2025/NĐ-CP về kiểm tra, rà soát, hệ thống hóa và xử lý văn bản quy phạm pháp luật; số 96/2023/NĐ-CP quy định chi tiết một số điều của Luật Khám bệnh, chữa bệnh; số 188/2025/NĐ-CP quy định chi tiết và hướng dẫn thi hành một số điều của Luật Bảo hiểm y tế; số 272/2025/NĐ-CP về phân định vùng đồng bào dân tộc thiểu số và miền núi giai đoạn 2026-2030, trong trường hợp chính sách có nội dung sử dụng tiêu chí phân định địa bàn theo Nghị định này; số 168/2026/NĐ-CP quy định chi tiết một số điều và biện pháp tổ chức, hướng dẫn thi hành Luật Dân số; số 235/2026/NĐ-CP về hợp đồng thực hiện công việc trong đơn vị sự nghiệp công lập; số 259/2026/NĐ-CP quy định về tuyển dụng, sử dụng và quản lý viên chức; số 335/2026/NĐ-CP quy định chính sách trợ giúp xã hội;</w:t>
      </w:r>
    </w:p>
    <w:p w14:paraId="2F780141">
      <w:pPr>
        <w:spacing w:before="60" w:after="60" w:line="240" w:lineRule="auto"/>
        <w:ind w:firstLine="720"/>
        <w:rPr>
          <w:i/>
          <w:iCs/>
          <w:color w:val="000000" w:themeColor="text1"/>
          <w:szCs w:val="28"/>
          <w14:textFill>
            <w14:solidFill>
              <w14:schemeClr w14:val="tx1"/>
            </w14:solidFill>
          </w14:textFill>
        </w:rPr>
      </w:pPr>
      <w:r>
        <w:rPr>
          <w:i/>
          <w:iCs/>
          <w:color w:val="000000" w:themeColor="text1"/>
          <w:szCs w:val="28"/>
          <w14:textFill>
            <w14:solidFill>
              <w14:schemeClr w14:val="tx1"/>
            </w14:solidFill>
          </w14:textFill>
        </w:rPr>
        <w:t xml:space="preserve">Căn cứ Thông tư số 96/2018/TT-BTC quy định quản lý và sử dụng kinh phí chăm sóc sức khỏe ban đầu cho người cao tuổi tại nơi cư trú; chúc thọ, mừng thọ; ưu đãi tín dụng và biểu dương, khen thưởng người cao tuổi, nếu nội dung chính sách có liên quan trực tiếp; </w:t>
      </w:r>
    </w:p>
    <w:p w14:paraId="3543B3FC">
      <w:pPr>
        <w:spacing w:before="60" w:after="60" w:line="240" w:lineRule="auto"/>
        <w:ind w:firstLine="720"/>
        <w:rPr>
          <w:i/>
          <w:color w:val="000000" w:themeColor="text1"/>
          <w:szCs w:val="28"/>
          <w14:textFill>
            <w14:solidFill>
              <w14:schemeClr w14:val="tx1"/>
            </w14:solidFill>
          </w14:textFill>
        </w:rPr>
        <w:sectPr>
          <w:pgSz w:w="11906" w:h="16838"/>
          <w:pgMar w:top="1134" w:right="1134" w:bottom="1134" w:left="1701" w:header="720" w:footer="720" w:gutter="0"/>
          <w:cols w:space="720" w:num="1"/>
          <w:docGrid w:linePitch="360" w:charSpace="0"/>
        </w:sectPr>
      </w:pPr>
    </w:p>
    <w:p w14:paraId="2D176205">
      <w:pPr>
        <w:spacing w:before="60" w:after="60" w:line="240" w:lineRule="auto"/>
        <w:ind w:firstLine="720"/>
        <w:rPr>
          <w:i/>
          <w:color w:val="000000" w:themeColor="text1"/>
          <w14:textFill>
            <w14:solidFill>
              <w14:schemeClr w14:val="tx1"/>
            </w14:solidFill>
          </w14:textFill>
        </w:rPr>
      </w:pPr>
      <w:r>
        <w:rPr>
          <w:i/>
          <w:color w:val="000000" w:themeColor="text1"/>
          <w:szCs w:val="28"/>
          <w14:textFill>
            <w14:solidFill>
              <w14:schemeClr w14:val="tx1"/>
            </w14:solidFill>
          </w14:textFill>
        </w:rPr>
        <w:t xml:space="preserve">Xét Tờ trình số .../TTr-UBND ngày ... tháng ... năm 2026 của Ủy ban nhân dân tỉnh về việc đề nghị ban hành Nghị quyết của Hội đồng nhân dân tỉnh quy định một số chính sách về y tế, dân số và bảo trợ xã hội trên địa bàn tỉnh Hà Tĩnh đến năm 2030; </w:t>
      </w:r>
      <w:r>
        <w:rPr>
          <w:i/>
          <w:color w:val="000000" w:themeColor="text1"/>
          <w14:textFill>
            <w14:solidFill>
              <w14:schemeClr w14:val="tx1"/>
            </w14:solidFill>
          </w14:textFill>
        </w:rPr>
        <w:t>Báo cáo thẩm tra số 1023/ HĐND ngày 27/10/2026 của Ban Văn hóa Xã hội – Hội đồng nhân dân tỉnh; ý kiến thảo luận của đại biểu Hội đồng nhân dân tỉnh tại Kỳ họp;</w:t>
      </w:r>
    </w:p>
    <w:p w14:paraId="2161EE1B">
      <w:pPr>
        <w:spacing w:before="60" w:after="60" w:line="240" w:lineRule="auto"/>
        <w:ind w:firstLine="720"/>
        <w:rPr>
          <w:i/>
          <w:color w:val="000000" w:themeColor="text1"/>
          <w:szCs w:val="28"/>
          <w14:textFill>
            <w14:solidFill>
              <w14:schemeClr w14:val="tx1"/>
            </w14:solidFill>
          </w14:textFill>
        </w:rPr>
      </w:pPr>
      <w:r>
        <w:rPr>
          <w:i/>
          <w:color w:val="000000" w:themeColor="text1"/>
          <w:szCs w:val="28"/>
          <w14:textFill>
            <w14:solidFill>
              <w14:schemeClr w14:val="tx1"/>
            </w14:solidFill>
          </w14:textFill>
        </w:rPr>
        <w:t>Hội đồng nhân dân tỉnh ban hành Nghị quyết quy định một số chính sách về y tế, dân số và bảo trợ xã hội trên địa bàn tỉnh Hà Tĩnh đến năm 2030.</w:t>
      </w:r>
    </w:p>
    <w:p w14:paraId="7207811D">
      <w:pPr>
        <w:spacing w:before="60" w:after="60" w:line="240" w:lineRule="auto"/>
        <w:jc w:val="center"/>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Chương I</w:t>
      </w:r>
    </w:p>
    <w:p w14:paraId="4540995C">
      <w:pPr>
        <w:spacing w:before="60" w:after="60" w:line="240" w:lineRule="auto"/>
        <w:jc w:val="center"/>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QUY ĐỊNH CHUNG</w:t>
      </w:r>
    </w:p>
    <w:p w14:paraId="54F66218">
      <w:pPr>
        <w:spacing w:before="60" w:after="60" w:line="240" w:lineRule="auto"/>
        <w:ind w:firstLine="720"/>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Điều 1. Phạm vi điều chỉnh</w:t>
      </w:r>
    </w:p>
    <w:p w14:paraId="239C8791">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Nghị quyết quy định một số chính sách về y tế, dân số và bảo trợ xã hội trên địa bàn tỉnh Hà Tĩnh đến năm 2030.</w:t>
      </w:r>
    </w:p>
    <w:p w14:paraId="189329CE">
      <w:pPr>
        <w:spacing w:before="60" w:after="60" w:line="240" w:lineRule="auto"/>
        <w:ind w:firstLine="720"/>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Điều 2. Đối tượng áp dụng</w:t>
      </w:r>
    </w:p>
    <w:p w14:paraId="2E33833D">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1. Đối tượng hưởng chính sách hỗ trợ khám bệnh, chữa bệnh là những người có đăng ký thường trú trên địa bàn tỉnh Hà Tĩnh gồm:</w:t>
      </w:r>
    </w:p>
    <w:p w14:paraId="7562BC19">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a) Người thuộc hộ nghèo theo quy định.</w:t>
      </w:r>
    </w:p>
    <w:p w14:paraId="4596A318">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b) Đồng bào dân tộc thiểu số đang sinh sống tại thôn đặc biệt khó khăn hoặc xã khu vực II, khu vực III được cấp có thẩm quyền phê duyệt </w:t>
      </w:r>
      <w:r>
        <w:rPr>
          <w:rFonts w:cs="Times New Roman"/>
          <w:color w:val="000000" w:themeColor="text1"/>
          <w:szCs w:val="28"/>
          <w14:textFill>
            <w14:solidFill>
              <w14:schemeClr w14:val="tx1"/>
            </w14:solidFill>
          </w14:textFill>
        </w:rPr>
        <w:t>theo Nghị định số 272/2025/NĐ-CP ngày 16 tháng 10 năm 2025 của Chính phủ về phân định vùng đồng bào dân tộc thiểu số và miền núi giai đoạn 2026-2030</w:t>
      </w:r>
      <w:r>
        <w:rPr>
          <w:color w:val="000000" w:themeColor="text1"/>
          <w:szCs w:val="28"/>
          <w14:textFill>
            <w14:solidFill>
              <w14:schemeClr w14:val="tx1"/>
            </w14:solidFill>
          </w14:textFill>
        </w:rPr>
        <w:t>.</w:t>
      </w:r>
    </w:p>
    <w:p w14:paraId="22AF94AF">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c) Người thuộc diện được hưởng trợ cấp xã hội hằng tháng theo quy định của pháp luật; người đang được nuôi dưỡng tại các cơ sở trợ giúp xã hội công lập và Bệnh viện Sức khoẻ tâm thần.</w:t>
      </w:r>
    </w:p>
    <w:p w14:paraId="5E432471">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d) Người mắc bệnh ung thư, chạy thận nhân tạo, mổ tim và một số bệnh hiểm nghèo khác theo Phụ lục IV ban hành kèm theo Nghị quyết này.</w:t>
      </w:r>
    </w:p>
    <w:p w14:paraId="4E4BAB32">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đ) Trẻ em thuộc hộ nghèo, cận nghèo, thuộc diện hưởng trợ cấp xã hội hằng tháng theo quy định của pháp luật thực hiện phẫu thuật tim bẩm sinh.</w:t>
      </w:r>
    </w:p>
    <w:p w14:paraId="15B58C57">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e) Người nhiễm HIV/AIDS.</w:t>
      </w:r>
    </w:p>
    <w:p w14:paraId="02140567">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g) Người bệnh tâm thần điều trị nội trú tại Bệnh viện Sức khỏe tâm thần Hà Tĩnh.</w:t>
      </w:r>
    </w:p>
    <w:p w14:paraId="427B5499">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2. Đối tượng hưởng chính sách hỗ trợ đặc thù gồm:</w:t>
      </w:r>
    </w:p>
    <w:p w14:paraId="066CDBDB">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a) Viên chức, người lao động được quy định tại khoản 1 Điều 4 Nghị quyết này.</w:t>
      </w:r>
    </w:p>
    <w:p w14:paraId="4BAF6A0C">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b) Không áp dụng đối với bác sĩ được biệt phái đến làm việc tại Trạm Y tế và viên chức được biệt phái đến làm việc tại lĩnh vực, cơ sở trợ giúp xã hội công lập.</w:t>
      </w:r>
    </w:p>
    <w:p w14:paraId="36FEAE5E">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3. Đối tượng hưởng chính sách về dân số gồm:</w:t>
      </w:r>
    </w:p>
    <w:p w14:paraId="1139195D">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Cộng tác viên dân số thôn, tổ dân phố; Nhân viên y tế thôn, tổ dân phố hoặc các cộng tác viên khác trên địa bàn kiêm cộng tác viên dân số.</w:t>
      </w:r>
    </w:p>
    <w:p w14:paraId="2CC2B1C0">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4. Đối tượng hưởng chính sách về bảo trợ xã hội là những người có đăng ký thường trú trên địa bàn tỉnh Hà Tĩnh gồm:</w:t>
      </w:r>
    </w:p>
    <w:p w14:paraId="6315E4FA">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a) Người cao tuổi từ đủ 65 tuổi đến dưới 75 tuổi; người thuộc hộ cận nghèo; người thuộc hộ gia đình làm nông nghiệp, lâm nghiệp, ngư nghiệp, diêm nghiệp có mức sống trung bình; người nhiễm HIV/AIDS.</w:t>
      </w:r>
    </w:p>
    <w:p w14:paraId="18F5D229">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b) Trẻ em không có nguồn nuôi dưỡng, người khuyết tật đặc biệt nặng, người cao tuổi đơn thân thuộc hộ nghèo đang hưởng trợ giúp xã hội tại cộng đồng hoặc đang được chăm sóc, nuôi dưỡng tại cơ sở trợ giúp xã hội công lập, Bệnh viện Sức khỏe Tâm thần Hà Tĩnh; người dân tộc thiểu số thuộc hộ nghèo, hộ cận nghèo.</w:t>
      </w:r>
    </w:p>
    <w:p w14:paraId="74BFB8A6">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c) Người cao tuổi ở tuổi 70, 75, 80, 85, 90, 95, 100 tuổi và trên 100 tuổi.</w:t>
      </w:r>
    </w:p>
    <w:p w14:paraId="04EAA54D">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d) Thành viên hộ nghèo thuộc các trường hợp quy định tại khoản 1 Điều 13 Nghị quyết này.</w:t>
      </w:r>
    </w:p>
    <w:p w14:paraId="63FD6719">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đ) Trẻ em dưới 16 tuổi mồ côi cha hoặc mẹ thuộc hộ nghèo và đáp ứng điều kiện tiếp nhận tại cơ sở trợ giúp xã hội công lập quy định tại điểm a khoản 1 và khoản 2 Điều 14 Nghị quyết này.</w:t>
      </w:r>
    </w:p>
    <w:p w14:paraId="5B305C7F">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e) Người khuyết tật thần kinh, tâm thần mức độ đặc biệt nặng thuộc hộ nghèo, hộ cận nghèo đáp ứng điều kiện quy định tại điểm b khoản 1 Điều 14 Nghị quyết này.</w:t>
      </w:r>
    </w:p>
    <w:p w14:paraId="2971F26C">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g) Người khuyết tật, người cao tuổi đang hưởng lương hưu, trợ cấp bảo hiểm xã hội hằng tháng, trợ cấp hưu trí xã hội hoặc trợ cấp xã hội hằng tháng và đáp ứng điều kiện hỗ trợ phần chênh lệch chi phí chăm sóc, nuôi dưỡng quy định tại Điều 15 Nghị quyết này.</w:t>
      </w:r>
    </w:p>
    <w:p w14:paraId="43C86CBA">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h) Người cần bảo vệ khẩn cấp khác phát sinh đột xuất thuộc phạm vi phân cấp cho Chủ tịch Ủy ban nhân dân tỉnh theo Điều 16 Nghị quyết này.</w:t>
      </w:r>
    </w:p>
    <w:p w14:paraId="6980FD72">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5. Cơ quan, đơn vị, tổ chức, cá nhân có liên quan đến việc thực hiện Nghị quyết này.</w:t>
      </w:r>
    </w:p>
    <w:p w14:paraId="0B88A200">
      <w:pPr>
        <w:spacing w:before="60" w:after="60" w:line="240" w:lineRule="auto"/>
        <w:ind w:firstLine="720"/>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Điều 3. Nguyên tắc thực hiện chính sách</w:t>
      </w:r>
    </w:p>
    <w:p w14:paraId="4944C12C">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1. Việc thực hiện chính sách phải bảo đảm kịp thời, công bằng, công khai, minh bạch; đúng đối tượng, điều kiện, mức hỗ trợ và thời gian hưởng; bảo đảm quyền, lợi ích hợp pháp của đối tượng.</w:t>
      </w:r>
    </w:p>
    <w:p w14:paraId="241CC89D">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2. Trường hợp một người đủ điều kiện hưởng nhiều mức của cùng một chính sách thì chỉ hưởng một mức cao nhất, trừ trường hợp pháp luật có quy định khác. Các chính sách khác nhau về mục đích, nội dung được thực hiện đồng thời khi đối tượng đủ điều kiện theo quy định</w:t>
      </w:r>
    </w:p>
    <w:p w14:paraId="101155D2">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3. Khi mức chuẩn trợ giúp xã hội hoặc căn cứ tính mức đóng bảo hiểm y tế được cơ quan có thẩm quyền điều chỉnh thì các mức hỗ trợ xác định theo mức chuẩn hoặc tỷ lệ quy định tại Nghị quyết này được tính tương ứng kể từ thời điểm quy định mới có hiệu lực.</w:t>
      </w:r>
    </w:p>
    <w:p w14:paraId="6F11870C">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4. Người bệnh khám bệnh, chữa bệnh theo yêu cầu không được hưởng chính sách hỗ trợ chi phí khám bệnh, chữa bệnh theo Nghị quyết này.</w:t>
      </w:r>
    </w:p>
    <w:p w14:paraId="0DB93206">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5. Việc lập dự toán, phân bổ, quản lý, sử dụng, thanh toán và quyết toán kinh phí thực hiện theo Phụ lục I; quy trình thực hiện, hồ sơ và căn cứ xác định điều kiện hưởng chính sách thực hiện theo Phụ lục II; biểu mẫu thực hiện theo Phụ lục III; danh mục bệnh làm căn cứ thực hiện chính sách được quy định tại Phụ lục IV ban hành kèm theo Nghị quyết này. Cơ quan thực hiện có trách nhiệm khai thác, sử dụng thông tin trong cơ sở dữ liệu và hồ sơ đã có; không yêu cầu nộp lại giấy tờ, thông tin đã được khai thác, xác thực hợp lệ theo quy định của pháp luật.</w:t>
      </w:r>
    </w:p>
    <w:p w14:paraId="6C7E65D7">
      <w:pPr>
        <w:spacing w:before="60" w:after="60" w:line="240" w:lineRule="auto"/>
        <w:jc w:val="center"/>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Chương II</w:t>
      </w:r>
    </w:p>
    <w:p w14:paraId="76D8E69A">
      <w:pPr>
        <w:spacing w:before="60" w:after="60" w:line="240" w:lineRule="auto"/>
        <w:jc w:val="center"/>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CHÍNH SÁCH VỀ Y TẾ</w:t>
      </w:r>
    </w:p>
    <w:p w14:paraId="6F44D9DE">
      <w:pPr>
        <w:spacing w:before="60" w:after="60" w:line="240" w:lineRule="auto"/>
        <w:ind w:firstLine="720"/>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Điều 4. Chính sách hỗ trợ viên chức, người lao động</w:t>
      </w:r>
    </w:p>
    <w:p w14:paraId="64338FB7">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1. Đối tượng hỗ trợ:</w:t>
      </w:r>
    </w:p>
    <w:p w14:paraId="66812A08">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a) Bác sĩ làm việc tại Trạm Y tế (bác sĩ thuộc biên chế của Trạm Y tế hoặc hợp đồng đến làm việc tại Trạm Y tế).</w:t>
      </w:r>
    </w:p>
    <w:p w14:paraId="4E8C500E">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b) Viên chức, người lao động làm việc trong lĩnh vực nuôi dưỡng, chăm sóc, giáo dục, phục hồi chức năng đối với người tâm thần, người rối nhiễu tâm trí của Bệnh viện Sức khỏe Tâm thần Hà Tĩnh.</w:t>
      </w:r>
    </w:p>
    <w:p w14:paraId="0859EC7D">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c) Viên chức, người lao động làm việc tại các cơ sở trợ giúp xã hội công lập.</w:t>
      </w:r>
    </w:p>
    <w:p w14:paraId="60C12B1A">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2. Mức hỗ trợ:</w:t>
      </w:r>
    </w:p>
    <w:p w14:paraId="7169953A">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a) Hỗ trợ mức 2.000.000 đồng/người/tháng đối với đối tượng tại điểm a khoản 1 Điều này.</w:t>
      </w:r>
    </w:p>
    <w:p w14:paraId="7765A009">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b) Hỗ trợ mức 2.160.000 đồng/người/tháng đối với đối tượng tại điểm b khoản 1 Điều này.</w:t>
      </w:r>
    </w:p>
    <w:p w14:paraId="273095E3">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c) Hỗ trợ mức 1.800.000 đồng/người/tháng đối với đối tượng tại điểm c khoản 1 Điều này.</w:t>
      </w:r>
    </w:p>
    <w:p w14:paraId="6A082A7D">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d) Hỗ trợ mức 3.600.000 đồng/người/tháng đối với bác sĩ làm việc tại các cơ sở trợ giúp xã hội công lập.</w:t>
      </w:r>
    </w:p>
    <w:p w14:paraId="6270C2EB">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đ) Đối tượng là nữ thuộc các điểm a, b, c, khoản 1 Điều này được hưởng thêm 05% (năm phần trăm) mức hỗ trợ theo quy định tại các điểm thuộc khoản 2 Điều này.</w:t>
      </w:r>
    </w:p>
    <w:p w14:paraId="4F886341">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3. Thời gian làm việc được tính hỗ trợ:</w:t>
      </w:r>
    </w:p>
    <w:p w14:paraId="1472DA97">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Thời gian để tính hỗ trợ đối với các trường hợp trên được tính theo số tháng thực tế làm việc tại Trạm Y tế; lĩnh vực, cơ sở trợ giúp xã hội công lập. Trường hợp có số ngày làm việc trong tháng từ 15 ngày trở lên được tính là 01 tháng, dưới 15 ngày không tính hưởng hỗ trợ của tháng đó.</w:t>
      </w:r>
    </w:p>
    <w:p w14:paraId="55F9F80E">
      <w:pPr>
        <w:spacing w:before="60" w:after="60" w:line="240" w:lineRule="auto"/>
        <w:ind w:firstLine="720"/>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Điều 5. Chính sách hỗ trợ tiền ăn cho người bệnh điều trị nội trú</w:t>
      </w:r>
    </w:p>
    <w:p w14:paraId="2334EAEA">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1. Đối tượng hỗ trợ:</w:t>
      </w:r>
    </w:p>
    <w:p w14:paraId="5FCEC31F">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a) Người thuộc hộ nghèo theo quy định khi điều trị nội trú tại các cơ sở y tế có giường bệnh điều trị nội trú.</w:t>
      </w:r>
    </w:p>
    <w:p w14:paraId="68C980E8">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b) Đồng bào dân tộc thiểu số đang sinh sống tại thôn đặc biệt khó khăn hoặc xã khu vực II, khu vực III được cấp có thẩm quyền phê duyệt </w:t>
      </w:r>
      <w:r>
        <w:rPr>
          <w:rFonts w:cs="Times New Roman"/>
          <w:color w:val="000000" w:themeColor="text1"/>
          <w:szCs w:val="28"/>
          <w14:textFill>
            <w14:solidFill>
              <w14:schemeClr w14:val="tx1"/>
            </w14:solidFill>
          </w14:textFill>
        </w:rPr>
        <w:t>theo Nghị định số 272/2025/NĐ-CP ngày 16 tháng 10 năm 2025 của Chính phủ về phân định vùng đồng bào dân tộc thiểu số và miền núi giai đoạn 2026-2030.</w:t>
      </w:r>
    </w:p>
    <w:p w14:paraId="55D1AAB0">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c) Trẻ em thuộc hộ nghèo, cận nghèo, thuộc diện hưởng trợ cấp xã hội hằng tháng theo quy định của pháp luật thực hiện phẫu thuật tim bẩm sinh. </w:t>
      </w:r>
    </w:p>
    <w:p w14:paraId="7B8CA31A">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d) Người bệnh tâm thần khi điều trị nội trú tại Bệnh viện Sức khỏe tâm thần Hà Tĩnh. </w:t>
      </w:r>
    </w:p>
    <w:p w14:paraId="72081A64">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2. Mức hỗ trợ:</w:t>
      </w:r>
    </w:p>
    <w:p w14:paraId="52FE245E">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Hỗ trợ tiền ăn 70.000 đồng/người bệnh/ngày điều trị nội trú.</w:t>
      </w:r>
    </w:p>
    <w:p w14:paraId="0C9EF624">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3. Điều kiện hỗ trợ:</w:t>
      </w:r>
    </w:p>
    <w:p w14:paraId="4B7DCE3A">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Đối với đối tượng tại điểm c khoản 1 Điều này được hỗ trợ tiền ăn trong mỗi đợt thực hiện phẫu thuật tim bẩm sinh, thời gian hỗ trợ không quá 15 ngày.</w:t>
      </w:r>
    </w:p>
    <w:p w14:paraId="49A89F7A">
      <w:pPr>
        <w:spacing w:before="60" w:after="60" w:line="240" w:lineRule="auto"/>
        <w:ind w:firstLine="720"/>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Điều 6. Chính sách hỗ trợ chi phí đi lại khi đi khám bệnh, chữa bệnh</w:t>
      </w:r>
    </w:p>
    <w:p w14:paraId="14CBB697">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1. Đối tượng hỗ trợ:</w:t>
      </w:r>
    </w:p>
    <w:p w14:paraId="7C54A842">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a) Người thuộc hộ nghèo theo quy định </w:t>
      </w:r>
    </w:p>
    <w:p w14:paraId="77F99064">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b) Đồng bào dân tộc thiểu số đang sinh sống tại thôn đặc biệt khó khăn hoặc xã khu vực II, khu vực III được cấp có thẩm quyền phê duyệt </w:t>
      </w:r>
      <w:r>
        <w:rPr>
          <w:rFonts w:cs="Times New Roman"/>
          <w:color w:val="000000" w:themeColor="text1"/>
          <w:szCs w:val="28"/>
          <w14:textFill>
            <w14:solidFill>
              <w14:schemeClr w14:val="tx1"/>
            </w14:solidFill>
          </w14:textFill>
        </w:rPr>
        <w:t>theo Nghị định số 272/2025/NĐ-CP ngày 16 tháng 10 năm 2025 của Chính phủ về phân định vùng đồng bào dân tộc thiểu số và miền núi giai đoạn 2026-2030</w:t>
      </w:r>
      <w:r>
        <w:rPr>
          <w:color w:val="000000" w:themeColor="text1"/>
          <w:szCs w:val="28"/>
          <w14:textFill>
            <w14:solidFill>
              <w14:schemeClr w14:val="tx1"/>
            </w14:solidFill>
          </w14:textFill>
        </w:rPr>
        <w:t>.</w:t>
      </w:r>
    </w:p>
    <w:p w14:paraId="6B0C8C7F">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c) Trẻ em thuộc hộ nghèo, cận nghèo, thuộc diện hưởng trợ cấp xã hội hằng tháng theo quy định của pháp luật thực hiện phẫu thuật tim bẩm sinh.</w:t>
      </w:r>
    </w:p>
    <w:p w14:paraId="71E706EE">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 2. Mức hỗ trợ:</w:t>
      </w:r>
    </w:p>
    <w:p w14:paraId="2C00EA25">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Hỗ trợ tiền đi lại mức bằng 5000 đồng/lít tính theo khoảng cách thực tế (vị trí nhà người bệnh để xác định khoảng cách với cơ sở y tế là trụ sở Ủy ban nhân dân xã, phường nơi người bệnh cư trú; việc xác định khoảng cách dựa trên đường đi ngắn nhất được xác định trên các ứng dụng công nghệ thông tin) và giá xăng tại thời điểm sử dụng đối với các đối tượng quy định tại khoản 1 Điều này.</w:t>
      </w:r>
    </w:p>
    <w:p w14:paraId="17E42055">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3. Điều kiện hỗ trợ:</w:t>
      </w:r>
    </w:p>
    <w:p w14:paraId="4B2AD803">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a) Đối với đối tượng tại điểm a, b khoản 1 Điều này được hỗ trợ khi điều trị nội trú tại các cơ sở khám bệnh, chữa bệnh có giường bệnh điều trị nội trú bị tử vong hoặc bệnh quá nặng, tiên lượng tử vong và người nhà có nguyện vọng đưa về nhà được hỗ trợ tiền đi lại từ cơ sở y tế về nhà.</w:t>
      </w:r>
    </w:p>
    <w:p w14:paraId="46A91688">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b) Đối với đối tượng tại điểm c khoản 1 Điều này được hỗ trợ tiền đi lại từ nhà đến cơ sở y tế (cả chiều đi và chiều về) trong mỗi đợt khám và phẫu thuật tim.</w:t>
      </w:r>
    </w:p>
    <w:p w14:paraId="37D6D40A">
      <w:pPr>
        <w:spacing w:before="60" w:after="60" w:line="240" w:lineRule="auto"/>
        <w:ind w:firstLine="720"/>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Điều 7. Chính sách hỗ trợ chi phí khám bệnh, chữa bệnh</w:t>
      </w:r>
    </w:p>
    <w:p w14:paraId="5ED44166">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1. Đối tượng hỗ trợ:</w:t>
      </w:r>
    </w:p>
    <w:p w14:paraId="3C434099">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a) Người thuộc hộ nghèo theo quy định.</w:t>
      </w:r>
    </w:p>
    <w:p w14:paraId="2D01BEEE">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b) Đồng bào dân tộc thiểu số đang sinh sống tại thôn đặc biệt khó khăn hoặc xã khu vực II, khu vực III được cấp có thẩm quyền phê duyệt </w:t>
      </w:r>
      <w:r>
        <w:rPr>
          <w:rFonts w:cs="Times New Roman"/>
          <w:color w:val="000000" w:themeColor="text1"/>
          <w:szCs w:val="28"/>
          <w14:textFill>
            <w14:solidFill>
              <w14:schemeClr w14:val="tx1"/>
            </w14:solidFill>
          </w14:textFill>
        </w:rPr>
        <w:t>theo Nghị định số 272/2025/NĐ-CP ngày 16 tháng 10 năm 2025 của Chính phủ về phân định vùng đồng bào dân tộc thiểu số và miền núi giai đoạn 2026-2030.</w:t>
      </w:r>
    </w:p>
    <w:p w14:paraId="2C725615">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c) Người thuộc diện được hưởng trợ cấp xã hội hằng tháng theo quy định của pháp luật; người đang được nuôi dưỡng tại các cơ sở trợ giúp xã hội công lập và Bệnh viện Sức khoẻ tâm thần.</w:t>
      </w:r>
    </w:p>
    <w:p w14:paraId="04B8B053">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d) Người mắc bệnh ung thư, chạy thận nhân tạo, mổ tim và một số bệnh hiểm nghèo khác theo Phụ lục IV ban hành kèm theo Nghị quyết này.</w:t>
      </w:r>
    </w:p>
    <w:p w14:paraId="013282CD">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đ) Trẻ em thuộc hộ nghèo, cận nghèo, thuộc diện hưởng trợ cấp xã hội hằng tháng theo quy định của pháp luật thực hiện phẫu thuật tim bẩm sinh.</w:t>
      </w:r>
    </w:p>
    <w:p w14:paraId="10CD6B61">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2. Mức hỗ trợ:</w:t>
      </w:r>
    </w:p>
    <w:p w14:paraId="5F69D9E4">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a) Hỗ trợ 50% chi phí khám bệnh, chữa bệnh bảo hiểm y tế cho các đối tượng tại điểm a, b, c khoản 1 Điều này đối với phần người bệnh phải cùng chi trả từ 100.000 đồng trở lên, nhưng tối đa không quá 5.000.000 đồng/người/lần hỗ trợ và không quá 03 lần/người/năm.</w:t>
      </w:r>
    </w:p>
    <w:p w14:paraId="1131D93F">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b) Hỗ trợ 30% chi phí khám bệnh, chữa bệnh cho các đối tượng tại điểm d, đ khoản 1 Điều này nếu:</w:t>
      </w:r>
    </w:p>
    <w:p w14:paraId="0F268FE8">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 Phần người bệnh phải chi trả cho cơ sở khám bệnh, chữa bệnh từ 1.000.000 đồng trở lên và có tổng chi phí điều trị dưới 50.000.000 đồng cho một đợt khám bệnh, chữa bệnh trong trường hợp không có bảo hiểm y tế theo quy định, nhưng tối đa không quá 10.000.000 đồng/người/lần hỗ trợ và không quá 03 lần/người/năm; nếu có bảo hiểm y tế thì hỗ trợ như điểm a khoản này.</w:t>
      </w:r>
    </w:p>
    <w:p w14:paraId="79359062">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 Tổng chi phí điều trị từ 50.000.000 đồng trở lên cho một đợt khám bệnh, chữa bệnh trong trường hợp không có bảo hiểm y tế theo quy định, nhưng tối đa không quá 20.000.000 đồng/người/lần hỗ trợ và không quá 03 lần/người/năm; nếu có bảo hiểm y tế thì hỗ trợ như điểm a khoản này.</w:t>
      </w:r>
    </w:p>
    <w:p w14:paraId="2B956486">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 Các đối tượng là trẻ em thuộc hộ nghèo, cận nghèo, thuộc diện hưởng trợ cấp xã hội hằng tháng theo quy định của pháp luật thực hiện phẫu thuật tim bẩm sinh, trường hợp được phẫu thuật tim do các chương trình/dự án tài trợ toàn bộ chi phí thì không được hỗ trợ chi phí khám bệnh, chữa bệnh theo Nghị quyết này.</w:t>
      </w:r>
    </w:p>
    <w:p w14:paraId="39134EC9">
      <w:pPr>
        <w:spacing w:before="60" w:after="60" w:line="240" w:lineRule="auto"/>
        <w:ind w:firstLine="720"/>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 xml:space="preserve">Điều 8. Hỗ trợ chi phí cùng chi trả thuốc kháng vi rút HIV (ARV) </w:t>
      </w:r>
      <w:r>
        <w:rPr>
          <w:b/>
          <w:bCs/>
          <w:color w:val="000000" w:themeColor="text1"/>
          <w:szCs w:val="28"/>
          <w14:textFill>
            <w14:solidFill>
              <w14:schemeClr w14:val="tx1"/>
            </w14:solidFill>
          </w14:textFill>
        </w:rPr>
        <w:tab/>
      </w:r>
    </w:p>
    <w:p w14:paraId="77A60389">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1. Đối tượng hỗ trợ:</w:t>
      </w:r>
    </w:p>
    <w:p w14:paraId="77794DFF">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Người nhiễm HIV/AIDS có thẻ bảo hiểm y tế tham gia điều trị thuốc ARV tại các cơ sở khám bệnh, chữa bệnh trong tỉnh, trừ phạm nhân nhiễm HIV/AIDS tại trại tạm giam, trại giam.</w:t>
      </w:r>
    </w:p>
    <w:p w14:paraId="3C8EB0EB">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2. Mức hỗ trợ:</w:t>
      </w:r>
    </w:p>
    <w:p w14:paraId="44537BCB">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Hỗ trợ 100% chi phí cùng chi trả thuốc ARV đối với đối các tượng tại khoản 1 Điều này.</w:t>
      </w:r>
    </w:p>
    <w:p w14:paraId="76B692E8">
      <w:pPr>
        <w:spacing w:before="60" w:after="60" w:line="240" w:lineRule="auto"/>
        <w:jc w:val="center"/>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Chương III</w:t>
      </w:r>
    </w:p>
    <w:p w14:paraId="102823F5">
      <w:pPr>
        <w:spacing w:before="60" w:after="60" w:line="240" w:lineRule="auto"/>
        <w:jc w:val="center"/>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CHÍNH SÁCH VỀ DÂN SỐ</w:t>
      </w:r>
    </w:p>
    <w:p w14:paraId="0D85D27D">
      <w:pPr>
        <w:spacing w:before="60" w:after="60" w:line="240" w:lineRule="auto"/>
        <w:ind w:firstLine="720"/>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Điều 9. Chính sách, chế độ cho cộng tác viên dân số</w:t>
      </w:r>
    </w:p>
    <w:p w14:paraId="714CBFA0">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1. Đối tượng hỗ trợ:</w:t>
      </w:r>
    </w:p>
    <w:p w14:paraId="6E01ABE4">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Cộng tác viên dân số; Nhân viên y tế thôn, tổ dân phố hoặc các cộng tác viên khác trên địa bàn kiêm cộng tác viên dân số.</w:t>
      </w:r>
    </w:p>
    <w:p w14:paraId="5A35AA81">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2. Mức hỗ trợ:</w:t>
      </w:r>
    </w:p>
    <w:p w14:paraId="3771EA8D">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a) Cộng tác viên dân số được hưởng thù lao hằng tháng theo mức lương cơ sở như sau:</w:t>
      </w:r>
    </w:p>
    <w:p w14:paraId="414D073C">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 Mức 0,5 áp dụng đối với cộng tác viên dân số làm việc tại: Các thôn có từ 350 hộ gia đình trở lên; các thôn đặc biệt khó khăn theo Quyết định của Bộ trưởng Bộ Dân tộc và Tôn giáo; các thôn, bản tại các xã vùng khó khăn theo quy định; các tổ dân phố, khu phố có từ 500 hộ gia đình trở lên.</w:t>
      </w:r>
    </w:p>
    <w:p w14:paraId="26744AC7">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 Mức 0,4 áp dụng đối với cộng tác viên dân số làm việc tại các địa bàn còn lại.</w:t>
      </w:r>
    </w:p>
    <w:p w14:paraId="46410B19">
      <w:pPr>
        <w:spacing w:before="60" w:after="6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b) Nhân viên y tế thôn, tổ dân phố hoặc các cộng tác viên khác trên địa bàn kiêm cộng tác viên dân số được hưởng thù lao hằng tháng đối với nhiệm vụ kiêm nhiệm theo thỏa thuận trong hợp đồng ký kết giữa các bên, mức thù lao kiêm nhiệm không vượt quá mức thù lao hằng tháng được quy định tại điểm a khoản này.</w:t>
      </w:r>
    </w:p>
    <w:p w14:paraId="40CE1FDF">
      <w:pPr>
        <w:spacing w:before="60" w:after="60" w:line="240" w:lineRule="auto"/>
        <w:jc w:val="center"/>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Chương IV</w:t>
      </w:r>
    </w:p>
    <w:p w14:paraId="28EDD2E1">
      <w:pPr>
        <w:spacing w:before="60" w:after="60" w:line="240" w:lineRule="auto"/>
        <w:jc w:val="center"/>
        <w:rPr>
          <w:b/>
          <w:bCs/>
          <w:color w:val="000000" w:themeColor="text1"/>
          <w:szCs w:val="28"/>
          <w14:textFill>
            <w14:solidFill>
              <w14:schemeClr w14:val="tx1"/>
            </w14:solidFill>
          </w14:textFill>
        </w:rPr>
      </w:pPr>
      <w:r>
        <w:rPr>
          <w:b/>
          <w:bCs/>
          <w:color w:val="000000" w:themeColor="text1"/>
          <w:szCs w:val="28"/>
          <w14:textFill>
            <w14:solidFill>
              <w14:schemeClr w14:val="tx1"/>
            </w14:solidFill>
          </w14:textFill>
        </w:rPr>
        <w:t>CHÍNH SÁCH VỀ BẢO TRỢ XÃ HỘI</w:t>
      </w:r>
    </w:p>
    <w:p w14:paraId="2033B9D9">
      <w:pPr>
        <w:spacing w:before="60" w:after="60" w:line="240" w:lineRule="auto"/>
        <w:ind w:firstLine="720"/>
        <w:rPr>
          <w:rFonts w:cs="Times New Roman"/>
          <w:b/>
          <w:bCs/>
          <w:color w:val="000000" w:themeColor="text1"/>
          <w:szCs w:val="28"/>
          <w14:textFill>
            <w14:solidFill>
              <w14:schemeClr w14:val="tx1"/>
            </w14:solidFill>
          </w14:textFill>
        </w:rPr>
      </w:pPr>
      <w:r>
        <w:rPr>
          <w:rFonts w:cs="Times New Roman"/>
          <w:b/>
          <w:bCs/>
          <w:color w:val="000000" w:themeColor="text1"/>
          <w:szCs w:val="28"/>
          <w14:textFill>
            <w14:solidFill>
              <w14:schemeClr w14:val="tx1"/>
            </w14:solidFill>
          </w14:textFill>
        </w:rPr>
        <w:t>Điều 10. Hỗ trợ đóng bảo hiểm y tế</w:t>
      </w:r>
    </w:p>
    <w:p w14:paraId="14511EE6">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1. Đối tượng hỗ trợ:</w:t>
      </w:r>
    </w:p>
    <w:p w14:paraId="0B54622D">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a) Người cao tuổi từ đủ 65 tuổi đến dưới 70 tuổi chưa có thẻ bảo hiểm y tế.</w:t>
      </w:r>
    </w:p>
    <w:p w14:paraId="144DC1CD">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b) Người cao tuổi từ đủ 70 tuổi đến dưới 75 tuổi chưa có thẻ bảo hiểm y tế.</w:t>
      </w:r>
    </w:p>
    <w:p w14:paraId="2DEF9750">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c) Người thuộc hộ cận nghèo theo tiêu chí chuẩn cận nghèo theo quy định của Chính phủ.</w:t>
      </w:r>
    </w:p>
    <w:p w14:paraId="3ABF0547">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d) Người thuộc hộ gia đình làm nông nghiệp, lâm nghiệp, ngư nghiệp và diêm nghiệp có mức sống trung bình theo quy định của Chính phủ.</w:t>
      </w:r>
    </w:p>
    <w:p w14:paraId="1B320087">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đ) Người nhiễm HIV/AIDS thuộc đối tượng quản lý tại Trung tâm Kiểm soát bệnh tật tỉnh chưa có thẻ bảo hiểm y tế, trừ người thuộc nhóm đối tượng tham gia bảo hiểm y tế được quy định tại khoản 1, 2, 3, Điều 12 của Luật Bảo hiểm y tế ngày 14 tháng 11 năm 2008 đã được sửa đổi, bổ sung tại khoản 6, Điều 1 của Luật sửa đổi, bổ sung một số điều của Luật Bảo hiểm y tế ngày 13 tháng 6 năm 2014 và được sửa đổi, bổ sung tại khoản 10, Điều 1 của Luật sửa đổi, bổ sung một số điều của Luật Bảo hiểm y tế ngày 27 tháng 11 năm 2024.</w:t>
      </w:r>
    </w:p>
    <w:p w14:paraId="6B9A3082">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2. Mức hỗ trợ:</w:t>
      </w:r>
    </w:p>
    <w:p w14:paraId="406554CB">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a) Người quy định tại điểm b, đ khoản 1 Điều này: Ngân sách tỉnh hỗ trợ 100% mức đóng.</w:t>
      </w:r>
    </w:p>
    <w:p w14:paraId="5BFC1F3A">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b) Người quy định tại điểm a khoản 1 Điều này: Ngân sách tỉnh hỗ trợ 70% mức đóng.</w:t>
      </w:r>
    </w:p>
    <w:p w14:paraId="208E1EEF">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c) Người quy định tại điểm c khoản 1 Điều này: Ngân sách tỉnh hỗ trợ 30% mức đóng.</w:t>
      </w:r>
    </w:p>
    <w:p w14:paraId="356AED8B">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d) Người quy định tại điểm d khoản 1 Điều này: Ngân sash tỉnh hỗ trợ 20% mức đóng.</w:t>
      </w:r>
    </w:p>
    <w:p w14:paraId="4A4C7620">
      <w:pPr>
        <w:spacing w:before="60" w:after="60" w:line="240" w:lineRule="auto"/>
        <w:ind w:firstLine="720"/>
        <w:rPr>
          <w:rFonts w:cs="Times New Roman"/>
          <w:b/>
          <w:bCs/>
          <w:color w:val="000000" w:themeColor="text1"/>
          <w:szCs w:val="28"/>
          <w14:textFill>
            <w14:solidFill>
              <w14:schemeClr w14:val="tx1"/>
            </w14:solidFill>
          </w14:textFill>
        </w:rPr>
      </w:pPr>
      <w:r>
        <w:rPr>
          <w:rFonts w:cs="Times New Roman"/>
          <w:b/>
          <w:bCs/>
          <w:color w:val="000000" w:themeColor="text1"/>
          <w:szCs w:val="28"/>
          <w14:textFill>
            <w14:solidFill>
              <w14:schemeClr w14:val="tx1"/>
            </w14:solidFill>
          </w14:textFill>
        </w:rPr>
        <w:t>Điều 11. Tặng quà nhân dịp Tết Nguyên đán</w:t>
      </w:r>
    </w:p>
    <w:p w14:paraId="3BA7DD38">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1. Đối tượng hỗ trợ:</w:t>
      </w:r>
    </w:p>
    <w:p w14:paraId="0A264D50">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a) Đối tượng bảo trợ xã hội có hoàn cảnh đặc biệt khó khăn: trẻ em không có nguồn nuôi dưỡng, người khuyết tật đặc biệt nặng, người cao tuổi đơn thân thuộc hộ nghèo, đang hưởng trợ giúp xã hội hàng tháng tại cộng đồng hoặc đang được chăm sóc, nuôi dưỡng tại các cơ sở trợ giúp xã hội công lập, Bệnh viện Sức khỏe Tâm thần.</w:t>
      </w:r>
    </w:p>
    <w:p w14:paraId="0C8F05A1">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b) Người dân tộc thiểu số thuộc diện hộ nghèo, hộ cận nghèo;</w:t>
      </w:r>
    </w:p>
    <w:p w14:paraId="36908009">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2. Mức quà tặng:</w:t>
      </w:r>
    </w:p>
    <w:p w14:paraId="6E127D74">
      <w:pPr>
        <w:pBdr>
          <w:top w:val="dotted" w:color="FFFFFF" w:sz="4" w:space="0"/>
          <w:left w:val="dotted" w:color="FFFFFF" w:sz="4" w:space="0"/>
          <w:bottom w:val="dotted" w:color="FFFFFF" w:sz="4" w:space="0"/>
          <w:right w:val="dotted" w:color="FFFFFF" w:sz="4" w:space="29"/>
        </w:pBdr>
        <w:shd w:val="clear" w:color="auto" w:fill="FFFFFF"/>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lang w:val="vi-VN"/>
          <w14:textFill>
            <w14:solidFill>
              <w14:schemeClr w14:val="tx1"/>
            </w14:solidFill>
          </w14:textFill>
        </w:rPr>
        <w:t>Đối tượng tại khoản 1 Điều này được tặng quà bằng tiền mặt nhân dịp Tết Nguyên đán hằng năm, mức tiền 300.000 đồng/người/lần</w:t>
      </w:r>
      <w:r>
        <w:rPr>
          <w:rFonts w:cs="Times New Roman"/>
          <w:color w:val="000000" w:themeColor="text1"/>
          <w:szCs w:val="28"/>
          <w14:textFill>
            <w14:solidFill>
              <w14:schemeClr w14:val="tx1"/>
            </w14:solidFill>
          </w14:textFill>
        </w:rPr>
        <w:t>.</w:t>
      </w:r>
    </w:p>
    <w:p w14:paraId="6FDB3673">
      <w:pPr>
        <w:spacing w:before="60" w:after="60" w:line="240" w:lineRule="auto"/>
        <w:ind w:firstLine="720"/>
        <w:rPr>
          <w:rFonts w:cs="Times New Roman"/>
          <w:b/>
          <w:bCs/>
          <w:color w:val="000000" w:themeColor="text1"/>
          <w:szCs w:val="28"/>
          <w14:textFill>
            <w14:solidFill>
              <w14:schemeClr w14:val="tx1"/>
            </w14:solidFill>
          </w14:textFill>
        </w:rPr>
      </w:pPr>
      <w:r>
        <w:rPr>
          <w:rFonts w:cs="Times New Roman"/>
          <w:b/>
          <w:bCs/>
          <w:color w:val="000000" w:themeColor="text1"/>
          <w:szCs w:val="28"/>
          <w14:textFill>
            <w14:solidFill>
              <w14:schemeClr w14:val="tx1"/>
            </w14:solidFill>
          </w14:textFill>
        </w:rPr>
        <w:t>Điều 12. Chúc thọ, mừng thọ người cao tuổi</w:t>
      </w:r>
    </w:p>
    <w:p w14:paraId="48A41A55">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1. Đối tượng được chúc thọ, mừng thọ là công dân Việt Nam trong năm tổ chức chúc thọ, mừng thọ đủ các tuổi 70, 75, 80, 85, 90, 95, 100 tuổi, trên 100 tuổi.</w:t>
      </w:r>
    </w:p>
    <w:p w14:paraId="7599C14F">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2. Mức hỗ trợ:</w:t>
      </w:r>
    </w:p>
    <w:p w14:paraId="5370B3C4">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a) Quà tặng bằng tiền đối với người cao tuổi ở tuổi 70, 75, 80 và 85 tuổi: 300.000 đồng/người.</w:t>
      </w:r>
    </w:p>
    <w:p w14:paraId="28702AA3">
      <w:pPr>
        <w:spacing w:before="60" w:after="60" w:line="240" w:lineRule="auto"/>
        <w:ind w:firstLine="7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b) Quà tặng bằng tiền đối với người cao tuổi ở tuổi 95 tuổi: 500.000 đồng/người.</w:t>
      </w:r>
    </w:p>
    <w:p w14:paraId="488FF98C">
      <w:pPr>
        <w:spacing w:before="60" w:after="60" w:line="240" w:lineRule="auto"/>
        <w:ind w:firstLine="720"/>
        <w:rPr>
          <w:color w:val="000000" w:themeColor="text1"/>
          <w:lang w:val="de-DE"/>
          <w14:textFill>
            <w14:solidFill>
              <w14:schemeClr w14:val="tx1"/>
            </w14:solidFill>
          </w14:textFill>
        </w:rPr>
      </w:pPr>
      <w:r>
        <w:rPr>
          <w:color w:val="000000" w:themeColor="text1"/>
          <w:lang w:val="de-DE"/>
          <w14:textFill>
            <w14:solidFill>
              <w14:schemeClr w14:val="tx1"/>
            </w14:solidFill>
          </w14:textFill>
        </w:rPr>
        <w:t>c) Quà tặng bằng tiền đối với người cao tuổi ở tuổi 95 tuổi: 500.000 đồng/người.</w:t>
      </w:r>
    </w:p>
    <w:p w14:paraId="7953C35E">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d) Quà tặng bằng tiền đối với người cao tuổi ở tuổi 100 và trên 100 tuổi: 1.000.000 đồng/người.</w:t>
      </w:r>
    </w:p>
    <w:p w14:paraId="4EE4C687">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đ) Người cao tuổi tròn 90 tuổi, tròn 100 tuổi được lựa chọn để lãnh đạo tỉnh trực tiếp chúc thọ, mừng thọ nhân dịp Tết Nguyên đán được tặng thêm quà bằng hiện vật trị giá 500.000 đồng/người/lần. Tổng số người được lựa chọn thuộc cả hai nhóm tuổi không quá 01 người/xã, phường/năm.</w:t>
      </w:r>
    </w:p>
    <w:p w14:paraId="34B26370">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Điều 13. Hỗ trợ thu nhập hằng tháng đối với thành viên hộ nghèo không có khả năng lao động</w:t>
      </w:r>
    </w:p>
    <w:p w14:paraId="20A6DB9A">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1. Đối tượng hỗ trợ</w:t>
      </w:r>
    </w:p>
    <w:p w14:paraId="00C5DC6E">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Đối tượng hỗ trợ là thành viên của hộ nghèo không có khả năng lao động đã được xác định theo kết quả rà soát, phân loại hộ nghèo hằng năm hoặc trong năm và được cơ quan có thẩm quyền công nhận theo quy định của pháp luật về giảm nghèo; không thuộc diện hưởng trợ cấp xã hội hằng tháng theo Điều 5 Nghị định số 335/2026/NĐ-CP, trợ cấp hưu trí xã hội hoặc khoản trợ cấp hằng tháng khác từ ngân sách nhà nước và thuộc một trong các trường hợp sau đây:</w:t>
      </w:r>
    </w:p>
    <w:p w14:paraId="69C9D543">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a) Người mắc bệnh hiểm nghèo theo Phụ lục IV ban hành kèm theo Nghị quyết này.</w:t>
      </w:r>
    </w:p>
    <w:p w14:paraId="5BC18317">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b) Người từ đủ 60 tuổi đến dưới 70 tuổi.</w:t>
      </w:r>
    </w:p>
    <w:p w14:paraId="37EE1AF2">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c) Trẻ em dưới 16 tuổi mồ côi cha hoặc mẹ.</w:t>
      </w:r>
    </w:p>
    <w:p w14:paraId="47C797CF">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Trường hợp một người đồng thời thuộc nhiều nhóm đối tượng quy định tại khoản này thì chỉ được hưởng một chế độ hỗ trợ thu nhập hằng tháng theo Điều này.</w:t>
      </w:r>
    </w:p>
    <w:p w14:paraId="10701DE5">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2. Mức hỗ trợ:</w:t>
      </w:r>
    </w:p>
    <w:p w14:paraId="69FAEB88">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Mức hỗ trợ thu nhập hằng tháng đối với đối tượng quy định tại khoản 1 Điều này bằng 01 lần mức chuẩn trợ giúp xã hội do Chính phủ quy định.</w:t>
      </w:r>
    </w:p>
    <w:p w14:paraId="5858CB24">
      <w:pPr>
        <w:spacing w:before="60" w:after="60" w:line="240" w:lineRule="auto"/>
        <w:ind w:firstLine="720"/>
        <w:rPr>
          <w:rFonts w:cs="Times New Roman"/>
          <w:b/>
          <w:bCs/>
          <w:color w:val="000000" w:themeColor="text1"/>
          <w:szCs w:val="28"/>
          <w:lang w:val="de-DE"/>
          <w14:textFill>
            <w14:solidFill>
              <w14:schemeClr w14:val="tx1"/>
            </w14:solidFill>
          </w14:textFill>
        </w:rPr>
      </w:pPr>
      <w:r>
        <w:rPr>
          <w:rFonts w:cs="Times New Roman"/>
          <w:b/>
          <w:bCs/>
          <w:color w:val="000000" w:themeColor="text1"/>
          <w:szCs w:val="28"/>
          <w:lang w:val="de-DE"/>
          <w14:textFill>
            <w14:solidFill>
              <w14:schemeClr w14:val="tx1"/>
            </w14:solidFill>
          </w14:textFill>
        </w:rPr>
        <w:t>Điều 14. Tiếp nhận, chăm sóc, nuôi dưỡng tại cơ sở trợ giúp xã hội công lập và Bệnh viện Sức khỏe tâm thần Hà Tĩnh</w:t>
      </w:r>
    </w:p>
    <w:p w14:paraId="57222B51">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1. Đối tượng được tiếp nhận:</w:t>
      </w:r>
    </w:p>
    <w:p w14:paraId="58519A72">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 xml:space="preserve">a) Trẻ em dưới 16 tuổi mồ côi cha hoặc mẹ, là thành viên của hộ nghèo không có khả năng lao động theo kết quả rà soát, phân loại hộ nghèo được cơ quan có thẩm quyền công nhận theo quy định của pháp luật về giảm nghèo, chưa thuộc diện được chăm sóc, nuôi dưỡng tại cơ sở trợ giúp xã hội theo khoản 1 Điều 21 Nghị định số 335/2026/NĐ-CP. </w:t>
      </w:r>
    </w:p>
    <w:p w14:paraId="26C2BB15">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b) Người khuyết tật thần kinh, tâm thần mức độ đặc biệt nặng thuộc hộ nghèo hoặc hộ cận nghèo, có nhu cầu, nguyện vọng được chăm sóc, nuôi dưỡng thường xuyên tại Bệnh viện Sức khỏe tâm thần Hà Tĩnh.</w:t>
      </w:r>
    </w:p>
    <w:p w14:paraId="5E571E74">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2. Điều kiện tiếp nhận đối với trẻ em quy định tại điểm a khoản 1 Điều này:</w:t>
      </w:r>
    </w:p>
    <w:p w14:paraId="581DB73A">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a) Cha hoặc mẹ còn lại không có khả năng trực tiếp chăm sóc, nuôi dưỡng trẻ hoặc không thực hiện trách nhiệm chăm sóc, nuôi dưỡng trẻ, dẫn đến trẻ thực tế không được người này bảo đảm việc chăm sóc, nuôi dưỡng.</w:t>
      </w:r>
    </w:p>
    <w:p w14:paraId="2DE63DF2">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b) Người đang trực tiếp chăm sóc, nuôi dưỡng trẻ mắc bệnh hiểm nghèo theo Phụ lục IV ban hành kèm theo Nghị quyết này, là người khuyết tật nặng, người khuyết tật đặc biệt nặng hoặc do tuổi cao, sức khỏe suy giảm dẫn đến không còn đủ khả năng bảo đảm các nhu cầu chăm sóc thiết yếu và an toàn cho trẻ phù hợp với độ tuổi, tình trạng sức khỏe của trẻ.</w:t>
      </w:r>
    </w:p>
    <w:p w14:paraId="75C7CA6F">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c) Đã rà soát, xem xét các phương án chăm sóc thay thế tại gia đình, cộng đồng nhưng chưa bố trí được cá nhân, gia đình đủ điều kiện nhận chăm sóc thay thế phù hợp.</w:t>
      </w:r>
    </w:p>
    <w:p w14:paraId="461A84E2">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3. Mức hỗ trợ:</w:t>
      </w:r>
    </w:p>
    <w:p w14:paraId="7873AF49">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 xml:space="preserve"> Ngân sách tỉnh bảo đảm kinh phí cho cơ sở trợ giúp xã hội công lập và Bệnh viện Sức khỏe Tâm thần Hà Tĩnh để chăm sóc, nuôi dưỡng đối tượng quy định tại khoản 1 Điều này, gồm:</w:t>
      </w:r>
    </w:p>
    <w:p w14:paraId="07FEC8F5">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a) Trợ cấp nuôi dưỡng hằng tháng cho mỗi đối tượng bằng 05 lần mức chuẩn trợ giúp xã hội do Chính phủ quy định đối với trẻ em dưới 04 tuổi; bằng 04 lần mức chuẩn trợ giúp xã hội đối với đối tượng từ đủ 04 tuổi trở lên.</w:t>
      </w:r>
    </w:p>
    <w:p w14:paraId="652C48E2">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b) Các khoản chi trực tiếp khác phục vụ chăm sóc, nuôi dưỡng được thực hiện theo nội dung, mức chi tương ứng quy định tại điểm c khoản 1 và các khoản 2, 3, 4, 5, 6, 7 Điều 22 Nghị định số 335/2026/NĐ-CP; bảo đảm đúng điều kiện phát sinh, chứng từ và dự toán được cấp có thẩm quyền giao.</w:t>
      </w:r>
    </w:p>
    <w:p w14:paraId="3F734F35">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c) Trường hợp chi phí dịch vụ chăm sóc, nuôi dưỡng theo mức giá dịch vụ được cơ quan có thẩm quyền phê duyệt cao hơn kinh phí đã được bố trí, thanh toán cho cùng nội dung chi, ngân sách tỉnh hỗ trợ phần chênh lệch còn thiếu theo dự toán được giao. Chỉ thực hiện cấp bù khi có mức giá dịch vụ được phê duyệt; không thanh toán trùng các khoản đã được ngân sách nhà nước, quỹ bảo hiểm y tế hoặc nguồn khác bảo đảm cho cùng nội dung chi.</w:t>
      </w:r>
    </w:p>
    <w:p w14:paraId="0336BDC4">
      <w:pPr>
        <w:spacing w:before="60" w:after="60" w:line="240" w:lineRule="auto"/>
        <w:ind w:firstLine="720"/>
        <w:rPr>
          <w:rFonts w:cs="Times New Roman"/>
          <w:b/>
          <w:bCs/>
          <w:color w:val="000000" w:themeColor="text1"/>
          <w:szCs w:val="28"/>
          <w:lang w:val="de-DE"/>
          <w14:textFill>
            <w14:solidFill>
              <w14:schemeClr w14:val="tx1"/>
            </w14:solidFill>
          </w14:textFill>
        </w:rPr>
      </w:pPr>
      <w:r>
        <w:rPr>
          <w:rFonts w:cs="Times New Roman"/>
          <w:b/>
          <w:bCs/>
          <w:color w:val="000000" w:themeColor="text1"/>
          <w:szCs w:val="28"/>
          <w:lang w:val="de-DE"/>
          <w14:textFill>
            <w14:solidFill>
              <w14:schemeClr w14:val="tx1"/>
            </w14:solidFill>
          </w14:textFill>
        </w:rPr>
        <w:t>Điều 15. Tiếp tục hỗ trợ phần chênh lệch chi phí chăm sóc, nuôi dưỡng đối với đối tượng đã được tiếp nhận tại cơ sở trợ giúp xã hội công lập</w:t>
      </w:r>
    </w:p>
    <w:p w14:paraId="6BC93E06">
      <w:pPr>
        <w:spacing w:before="60" w:after="60" w:line="240" w:lineRule="auto"/>
        <w:ind w:firstLine="720"/>
        <w:rPr>
          <w:rFonts w:cs="Times New Roman"/>
          <w:b/>
          <w:bCs/>
          <w:color w:val="000000" w:themeColor="text1"/>
          <w:szCs w:val="28"/>
          <w:lang w:val="de-DE"/>
          <w14:textFill>
            <w14:solidFill>
              <w14:schemeClr w14:val="tx1"/>
            </w14:solidFill>
          </w14:textFill>
        </w:rPr>
      </w:pPr>
      <w:r>
        <w:rPr>
          <w:rFonts w:cs="Times New Roman"/>
          <w:b/>
          <w:bCs/>
          <w:color w:val="000000" w:themeColor="text1"/>
          <w:szCs w:val="28"/>
          <w:lang w:val="de-DE"/>
          <w14:textFill>
            <w14:solidFill>
              <w14:schemeClr w14:val="tx1"/>
            </w14:solidFill>
          </w14:textFill>
        </w:rPr>
        <w:t>1. Đối tượng hỗ trợ</w:t>
      </w:r>
    </w:p>
    <w:p w14:paraId="3863477F">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Người hưởng lương hưu, trợ cấp xã hội hằng tháng có hoàn cảnh đặc biệt khó khăn, không nơi nương tựa, đã được tiếp nhận và đang được chăm sóc, nuôi dưỡng tại cơ sở trợ giúp xã hội công lập trước ngày Nghị quyết này có hiệu lực, thuộc diện được ngân sách tỉnh hỗ trợ phần chênh lệch chi phí chăm sóc, nuôi dưỡng theo chính sách đã áp dụng trong giai đoạn trước và tiếp tục phát sinh phần chi phí chăm sóc, nuôi dưỡng chưa được bảo đảm.</w:t>
      </w:r>
    </w:p>
    <w:p w14:paraId="7697AD77">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Không áp dụng đối với đối tượng thuộc diện hỗ trợ phần chênh lệch kinh phí chăm sóc, nuôi dưỡng theo Điều 7 Nghị quyết số 182/2025/NQ-HĐND ngày 10 tháng 12 năm 2025 của Hội đồng nhân dân tỉnh.</w:t>
      </w:r>
    </w:p>
    <w:p w14:paraId="4697B82B">
      <w:pPr>
        <w:spacing w:before="60" w:after="60" w:line="240" w:lineRule="auto"/>
        <w:ind w:firstLine="720"/>
        <w:rPr>
          <w:rFonts w:cs="Times New Roman"/>
          <w:b/>
          <w:bCs/>
          <w:color w:val="000000" w:themeColor="text1"/>
          <w:szCs w:val="28"/>
          <w:lang w:val="de-DE"/>
          <w14:textFill>
            <w14:solidFill>
              <w14:schemeClr w14:val="tx1"/>
            </w14:solidFill>
          </w14:textFill>
        </w:rPr>
      </w:pPr>
      <w:r>
        <w:rPr>
          <w:rFonts w:cs="Times New Roman"/>
          <w:b/>
          <w:bCs/>
          <w:color w:val="000000" w:themeColor="text1"/>
          <w:szCs w:val="28"/>
          <w:lang w:val="de-DE"/>
          <w14:textFill>
            <w14:solidFill>
              <w14:schemeClr w14:val="tx1"/>
            </w14:solidFill>
          </w14:textFill>
        </w:rPr>
        <w:t>2. Mức hỗ trợ:</w:t>
      </w:r>
    </w:p>
    <w:p w14:paraId="5D902095">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 xml:space="preserve"> Ngân sách tỉnh hỗ trợ phần chi phí dịch vụ chăm sóc, nuôi dưỡng hợp lệ còn thiếu sau khi trừ thu nhập của đối tượng được sử dụng hợp pháp để thanh toán, khoản đóng góp của người có nghĩa vụ nuôi dưỡng, cấp dưỡng và các nguồn kinh phí khác đã bảo đảm cho cùng nội dung, thời gian chăm sóc, nuôi dưỡng. Chi phí hợp lệ được xác định theo giá, định mức và phạm vi dịch vụ được cấp có thẩm quyền phê duyệt.</w:t>
      </w:r>
    </w:p>
    <w:p w14:paraId="61EBA0E5">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b/>
          <w:bCs/>
          <w:color w:val="000000" w:themeColor="text1"/>
          <w:szCs w:val="28"/>
          <w:lang w:val="de-DE"/>
          <w14:textFill>
            <w14:solidFill>
              <w14:schemeClr w14:val="tx1"/>
            </w14:solidFill>
          </w14:textFill>
        </w:rPr>
        <w:t>3. Nguyên tắc thực hiện</w:t>
      </w:r>
    </w:p>
    <w:p w14:paraId="71EFE43E">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a) Chính sách chỉ áp dụng đối với đối tượng quy định tại khoản 1 Điều này, không áp dụng để xét tiếp nhận mới hoặc mở rộng đối tượng hưởng chính sách cấp bù.</w:t>
      </w:r>
    </w:p>
    <w:p w14:paraId="11D8330E">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b) Đối tượng được tiếp tục hỗ trợ trong thời gian chăm sóc, nuôi dưỡng tại cơ sở khi còn phát sinh phần chi phí dịch vụ hợp lệ chưa được bảo đảm. Trường hợp thay đổi giá dịch vụ, phần thu nhập được sử dụng hợp pháp để thanh toán hoặc các nguồn đóng góp, hỗ trợ khác thì điều chỉnh mức hỗ trợ tương ứng.</w:t>
      </w:r>
    </w:p>
    <w:p w14:paraId="3A921C41">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c) Cơ sở trợ giúp xã hội công lập có trách nhiệm rà soát hồ sơ tiếp nhận, hồ sơ quản lý và danh sách đối tượng đã thuộc diện cấp bù theo chính sách trước đây; xác định phần kinh phí đề nghị hỗ trợ đối với từng đối tượng, báo cáo cơ quan quản lý trực tiếp kiểm tra, tổng hợp, lập dự toán và thực hiện thanh toán, quyết toán theo quy định của pháp luật về ngân sách nhà nước.</w:t>
      </w:r>
    </w:p>
    <w:p w14:paraId="46D79A5E">
      <w:pPr>
        <w:spacing w:before="60" w:after="60" w:line="240" w:lineRule="auto"/>
        <w:ind w:firstLine="720"/>
        <w:rPr>
          <w:rFonts w:cs="Times New Roman"/>
          <w:b/>
          <w:bCs/>
          <w:color w:val="000000" w:themeColor="text1"/>
          <w:szCs w:val="28"/>
          <w:lang w:val="de-DE"/>
          <w14:textFill>
            <w14:solidFill>
              <w14:schemeClr w14:val="tx1"/>
            </w14:solidFill>
          </w14:textFill>
        </w:rPr>
      </w:pPr>
      <w:r>
        <w:rPr>
          <w:rFonts w:cs="Times New Roman"/>
          <w:b/>
          <w:bCs/>
          <w:color w:val="000000" w:themeColor="text1"/>
          <w:szCs w:val="28"/>
          <w:lang w:val="de-DE"/>
          <w14:textFill>
            <w14:solidFill>
              <w14:schemeClr w14:val="tx1"/>
            </w14:solidFill>
          </w14:textFill>
        </w:rPr>
        <w:t>Điều 16. Phân cấp quyết định trường hợp cần bảo vệ khẩn cấp khác phát sinh đột xuất</w:t>
      </w:r>
    </w:p>
    <w:p w14:paraId="1952E2EC">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1. Phân cấp cho Chủ tịch Ủy ban nhân dân tỉnh quyết định đối tượng cần bảo vệ khẩn cấp khác phát sinh đột xuất theo điểm d khoản 2 Điều 15 và điểm c khoản 2 Điều 21 Nghị định số 335/2026/NĐ-CP, đối với trường hợp chưa thuộc các nhóm đối tượng được Nghị định quy định cụ thể và có nguy cơ bị tổn hại nghiêm trọng về tính mạng, sức khỏe hoặc sự an toàn nếu không được trợ giúp kịp thời.</w:t>
      </w:r>
    </w:p>
    <w:p w14:paraId="60956CD4">
      <w:pPr>
        <w:spacing w:before="60" w:after="60" w:line="240" w:lineRule="auto"/>
        <w:ind w:firstLine="720"/>
        <w:rPr>
          <w:rFonts w:cs="Times New Roman"/>
          <w:color w:val="000000" w:themeColor="text1"/>
          <w:szCs w:val="28"/>
          <w:lang w:val="de-DE"/>
          <w14:textFill>
            <w14:solidFill>
              <w14:schemeClr w14:val="tx1"/>
            </w14:solidFill>
          </w14:textFill>
        </w:rPr>
      </w:pPr>
      <w:r>
        <w:rPr>
          <w:rFonts w:cs="Times New Roman"/>
          <w:color w:val="000000" w:themeColor="text1"/>
          <w:szCs w:val="28"/>
          <w:lang w:val="de-DE"/>
          <w14:textFill>
            <w14:solidFill>
              <w14:schemeClr w14:val="tx1"/>
            </w14:solidFill>
          </w14:textFill>
        </w:rPr>
        <w:t>2. Chế độ, thời gian, trình tự trợ giúp thực hiện theo Nghị định số 335/2026/NĐ-CP và pháp luật có liên quan. Việc cứu giúp, cấp cứu ban đầu thực hiện kịp thời theo thẩm quyền, không chờ quyết định đối với trường hợp cần được bảo vệ ngay.</w:t>
      </w:r>
    </w:p>
    <w:p w14:paraId="08D41FD2">
      <w:pPr>
        <w:spacing w:before="60" w:after="60" w:line="240" w:lineRule="auto"/>
        <w:jc w:val="center"/>
        <w:rPr>
          <w:rFonts w:cs="Times New Roman"/>
          <w:color w:val="000000" w:themeColor="text1"/>
          <w:szCs w:val="28"/>
          <w:lang w:val="de-DE"/>
          <w14:textFill>
            <w14:solidFill>
              <w14:schemeClr w14:val="tx1"/>
            </w14:solidFill>
          </w14:textFill>
        </w:rPr>
      </w:pPr>
      <w:r>
        <w:rPr>
          <w:b/>
          <w:bCs/>
          <w:color w:val="000000" w:themeColor="text1"/>
          <w:szCs w:val="28"/>
          <w:lang w:val="de-DE"/>
          <w14:textFill>
            <w14:solidFill>
              <w14:schemeClr w14:val="tx1"/>
            </w14:solidFill>
          </w14:textFill>
        </w:rPr>
        <w:t>Chương V</w:t>
      </w:r>
    </w:p>
    <w:p w14:paraId="41A3D10B">
      <w:pPr>
        <w:spacing w:before="60" w:after="60" w:line="240" w:lineRule="auto"/>
        <w:jc w:val="center"/>
        <w:rPr>
          <w:b/>
          <w:bCs/>
          <w:color w:val="000000" w:themeColor="text1"/>
          <w:szCs w:val="28"/>
          <w:lang w:val="de-DE"/>
          <w14:textFill>
            <w14:solidFill>
              <w14:schemeClr w14:val="tx1"/>
            </w14:solidFill>
          </w14:textFill>
        </w:rPr>
      </w:pPr>
      <w:r>
        <w:rPr>
          <w:b/>
          <w:bCs/>
          <w:color w:val="000000" w:themeColor="text1"/>
          <w:szCs w:val="28"/>
          <w:lang w:val="de-DE"/>
          <w14:textFill>
            <w14:solidFill>
              <w14:schemeClr w14:val="tx1"/>
            </w14:solidFill>
          </w14:textFill>
        </w:rPr>
        <w:t>TỔ CHỨC THỰC HIỆN</w:t>
      </w:r>
    </w:p>
    <w:p w14:paraId="38D78C0E">
      <w:pPr>
        <w:spacing w:before="60" w:after="60" w:line="240" w:lineRule="auto"/>
        <w:ind w:firstLine="720"/>
        <w:rPr>
          <w:b/>
          <w:bCs/>
          <w:color w:val="000000" w:themeColor="text1"/>
          <w:szCs w:val="28"/>
          <w:lang w:val="de-DE"/>
          <w14:textFill>
            <w14:solidFill>
              <w14:schemeClr w14:val="tx1"/>
            </w14:solidFill>
          </w14:textFill>
        </w:rPr>
      </w:pPr>
      <w:r>
        <w:rPr>
          <w:b/>
          <w:bCs/>
          <w:color w:val="000000" w:themeColor="text1"/>
          <w:szCs w:val="28"/>
          <w:lang w:val="de-DE"/>
          <w14:textFill>
            <w14:solidFill>
              <w14:schemeClr w14:val="tx1"/>
            </w14:solidFill>
          </w14:textFill>
        </w:rPr>
        <w:t>Điều 17. Nguồn kinh phí thực hiện</w:t>
      </w:r>
    </w:p>
    <w:p w14:paraId="4C23A9F1">
      <w:pPr>
        <w:spacing w:before="60" w:after="60" w:line="240" w:lineRule="auto"/>
        <w:ind w:firstLine="720"/>
        <w:rPr>
          <w:rFonts w:cs="Times New Roman"/>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 xml:space="preserve">1. Nguồn kinh phí thực hiện chính sách được bố trí từ ngân sách </w:t>
      </w:r>
      <w:r>
        <w:rPr>
          <w:rFonts w:cs="Times New Roman"/>
          <w:color w:val="000000" w:themeColor="text1"/>
          <w:szCs w:val="28"/>
          <w:lang w:val="vi-VN"/>
          <w14:textFill>
            <w14:solidFill>
              <w14:schemeClr w14:val="tx1"/>
            </w14:solidFill>
          </w14:textFill>
        </w:rPr>
        <w:t>nhà nước theo phân cấp, đồng thời huy động, lồng ghép các nguồn kinh phí hợp pháp khác.</w:t>
      </w:r>
    </w:p>
    <w:p w14:paraId="1CBF5B66">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2. Việc lập dự toán, chấp hành dự toán và quyết toán kinh phí được thực hiện theo quy định của Luật Ngân sách nhà nước và các văn bản hướng dẫn thực hiện.</w:t>
      </w:r>
    </w:p>
    <w:p w14:paraId="0887A278">
      <w:pPr>
        <w:spacing w:before="60" w:after="60" w:line="240" w:lineRule="auto"/>
        <w:ind w:firstLine="720"/>
        <w:rPr>
          <w:b/>
          <w:bCs/>
          <w:color w:val="000000" w:themeColor="text1"/>
          <w:szCs w:val="28"/>
          <w:lang w:val="de-DE"/>
          <w14:textFill>
            <w14:solidFill>
              <w14:schemeClr w14:val="tx1"/>
            </w14:solidFill>
          </w14:textFill>
        </w:rPr>
      </w:pPr>
      <w:r>
        <w:rPr>
          <w:b/>
          <w:bCs/>
          <w:color w:val="000000" w:themeColor="text1"/>
          <w:szCs w:val="28"/>
          <w:lang w:val="de-DE"/>
          <w14:textFill>
            <w14:solidFill>
              <w14:schemeClr w14:val="tx1"/>
            </w14:solidFill>
          </w14:textFill>
        </w:rPr>
        <w:t>Điều 18. Điều khoản chuyển tiếp</w:t>
      </w:r>
    </w:p>
    <w:p w14:paraId="5CF4AFF1">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1. Chế độ, chính sách phát sinh trước ngày Nghị quyết này có hiệu lực được giải quyết theo quy định áp dụng tại thời điểm phát sinh. Các khoản đã chi đúng quy định không bị thu hồi chỉ do Nghị quyết này thay đổi điều kiện hoặc mức hỗ trợ.</w:t>
      </w:r>
    </w:p>
    <w:p w14:paraId="050D5517">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2. Người đang hưởng chính sách tại Điều 5, Điều 6, Điều 8 và Điều 10 Nghị quyết số 182/2025/NQ-HĐND được rà soát, chuyển sang hưởng chính sách tương ứng tại Nghị quyết này nếu đủ điều kiện; tiếp tục sử dụng hồ sơ còn giá trị pháp lý, không yêu cầu lập lại hồ sơ khi không cần thiết.</w:t>
      </w:r>
    </w:p>
    <w:p w14:paraId="14CFF991">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3. Trong thời hạn 03 tháng kể từ ngày Nghị quyết này có hiệu lực, Bệnh viện Sức khỏe Tâm thần Hà Tĩnh phối hợp với Ủy ban nhân dân cấp xã rà soát đối tượng đang được chăm sóc theo Điều 8 Nghị quyết số 182/2025/NQ-HĐND. Trường hợp đủ điều kiện chăm sóc thường xuyên thì chuyển sang chính sách tương ứng; trường hợp cần bảo vệ khẩn cấp thì thực hiện theo Nghị định số 335/2026/NĐ-CP; trường hợp không còn đủ điều kiện phải có phương án chăm sóc, bàn giao an toàn theo quy định.</w:t>
      </w:r>
    </w:p>
    <w:p w14:paraId="20BC8A68">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4. Khoản hỗ trợ chênh lệch chi phí chăm sóc, nuôi dưỡng đã phát sinh trước ngày Nghị quyết này có hiệu lực được thanh toán theo quy định tại thời điểm phát sinh. Khoản hỗ trợ từ ngày Nghị quyết này có hiệu lực được rà soát theo điều kiện, mức chi phí hợp lệ và nguồn kinh phí quy định tại Nghị quyết này, bảo đảm không thanh toán trùng và không gián đoạn chăm sóc thiết yếu.</w:t>
      </w:r>
    </w:p>
    <w:p w14:paraId="6EE54703">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5. Đối tượng đang được cấp bù chi phí chăm sóc, nuôi dưỡng theo khoản 2 Điều 6 Nghị quyết số 98/2018/NQ-HĐND được rà soát để chuyển sang hưởng chính sách quy định tại Điều 15 Nghị quyết này nếu đủ điều kiện; khoản chi phí phát sinh trước ngày Nghị quyết này có hiệu lực được thanh toán, quyết toán theo quy định tại thời điểm phát sinh.</w:t>
      </w:r>
    </w:p>
    <w:p w14:paraId="4FD3C32D">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6. Dự án, nhiệm vụ, hợp đồng và quyết định phê duyệt hợp pháp để thực hiện Nghị quyết số 98/2018/NQ-HĐND đã được ban hành trước ngày Nghị quyết này có hiệu lực tiếp tục được xử lý theo pháp luật về đầu tư công, ngân sách nhà nước, tài sản công và pháp luật có liên quan; việc bãi bỏ Nghị quyết số 98/2018/NQ-HĐND không làm chấm dứt các quyền, nghĩa vụ hợp pháp đã phát sinh.</w:t>
      </w:r>
    </w:p>
    <w:p w14:paraId="2C943017">
      <w:pPr>
        <w:spacing w:before="60" w:after="60" w:line="240" w:lineRule="auto"/>
        <w:ind w:firstLine="720"/>
        <w:rPr>
          <w:b/>
          <w:bCs/>
          <w:color w:val="000000" w:themeColor="text1"/>
          <w:szCs w:val="28"/>
          <w:lang w:val="de-DE"/>
          <w14:textFill>
            <w14:solidFill>
              <w14:schemeClr w14:val="tx1"/>
            </w14:solidFill>
          </w14:textFill>
        </w:rPr>
      </w:pPr>
      <w:r>
        <w:rPr>
          <w:b/>
          <w:bCs/>
          <w:color w:val="000000" w:themeColor="text1"/>
          <w:szCs w:val="28"/>
          <w:lang w:val="de-DE"/>
          <w14:textFill>
            <w14:solidFill>
              <w14:schemeClr w14:val="tx1"/>
            </w14:solidFill>
          </w14:textFill>
        </w:rPr>
        <w:t>Điều 19. Điều khoản thi hành</w:t>
      </w:r>
    </w:p>
    <w:p w14:paraId="28CEED7E">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1. Nghị quyết này thay thế các Nghị quyết của Hội đồng nhân dân tỉnh: số 94/2018/NQ-HĐND ngày 18/07/2018 quy định một số chính sách thực hiện sắp xếp tổ chức bộ máy, tinh giản biên chế ngành Y tế Hà Tĩnh đến năm 2025 và những năm tiếp theo, số 98/2018/NQ-HĐND ngày 18/7/2018 về củng cố, phát triển hệ thống mạng lưới cơ sở trợ giúp xã hội tỉnh Hà Tĩnh giai đoạn 2018 - 2025, tầm nhìn đến năm 2030, Nghị quyết số 71/2022/NQ-HĐND ngày 15/07/2022 quy định qmột số cơ chế, chính sách đối với lĩnh vực Y tế công lập trên địa bàn tỉnh Hà Tĩnh, giai đoạn 2022 – 2025, số 181/2025/NQ-HĐND ngày 10/12/2025 quy định chính sách hỗ trợ người thuộc hộ nghèo, người bệnh tâm thần, người bị nhiễm HIV/AIDS và một số đối tượng có hoàn cảnh khó khăn khi khám bệnh, chữa bệnh tại các cơ sở y tế.</w:t>
      </w:r>
    </w:p>
    <w:p w14:paraId="3774DDFD">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2. Bãi bỏ khoản 2 Điều 6 Nghị quyết số 117/2023/NQ-HĐND ngày 08/12/2023 quy định một số chính sách hỗ trợ người cai nghiện ma túy; người được giao nhiệm vụ hỗ trợ cai nghiện ma túy tại gia đình, cộng đồng và trợ cấp đặc thù đối với viên chức người lao động làm việc tại các cơ sở cai nghiện ma túy và cơ sở trợ giúp xã hội công lập trên địa bàn tỉnh Hà Tĩnh; khoản 5, khoản 6, khoản 7 và khoản 8 Điều 2; Điều 5, Điều 6, Điều 8 và Điều 10 Nghị quyết số 182/2025/NQ-HĐND ngày 10/12/2025 của Hội đồng nhân dân tỉnh quy định một số chính sách đảm bảo an sinh xã hội trên địa bàn tỉnh Hà Tĩnh giai đoạn 2026 - 2030 kể từ ngày Nghị quyết này có hiệu lực.</w:t>
      </w:r>
    </w:p>
    <w:p w14:paraId="38151A27">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3. Sửa đổi tên Chương II Nghị quyết số 182/2025/NQ-HĐND thành “Tặng quà người có công với cách mạng, thân nhân người có công và cựu chiến binh”; tên Chương IV thành “Hỗ trợ đóng bảo hiểm xã hội tự nguyện”.</w:t>
      </w:r>
    </w:p>
    <w:p w14:paraId="37606403">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4. Sửa đổi khoản 2 Điều 3 Nghị quyết số 182/2025/NQ-HĐND như sau: “2. Trường hợp một người đủ điều kiện hưởng nhiều mức của cùng một chính sách thì chỉ hưởng một mức cao nhất, trừ trường hợp pháp luật có quy định khác. Các chính sách khác nhau về mục đích, nội dung được thực hiện đồng thời khi đối tượng đủ điều kiện theo quy định.”</w:t>
      </w:r>
    </w:p>
    <w:p w14:paraId="64043422">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5. Các quy định khác của Nghị quyết số 182/2025/NQ-HĐND tiếp tục được thực hiện trong phạm vi còn hiệu lực. Trường hợp các văn bản quy phạm pháp luật được viện dẫn tại Nghị quyết này được sửa đổi, bổ sung hoặc thay thế thì thực hiện theo văn bản mới; trường hợp nội dung thay đổi thuộc thẩm quyền quyết định của Hội đồng nhân dân tỉnh thì Ủy ban nhân dân tỉnh trình Hội đồng nhân dân tỉnh xem xét, quyết định.</w:t>
      </w:r>
    </w:p>
    <w:p w14:paraId="72E90D03">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6. Nghị quyết này có hiệu lực thi hành từ ngày       tháng        năm 2027.</w:t>
      </w:r>
    </w:p>
    <w:p w14:paraId="712700B6">
      <w:pPr>
        <w:spacing w:before="60" w:after="60" w:line="240" w:lineRule="auto"/>
        <w:ind w:firstLine="720"/>
        <w:rPr>
          <w:b/>
          <w:bCs/>
          <w:color w:val="000000" w:themeColor="text1"/>
          <w:szCs w:val="28"/>
          <w:lang w:val="de-DE"/>
          <w14:textFill>
            <w14:solidFill>
              <w14:schemeClr w14:val="tx1"/>
            </w14:solidFill>
          </w14:textFill>
        </w:rPr>
      </w:pPr>
      <w:r>
        <w:rPr>
          <w:b/>
          <w:bCs/>
          <w:color w:val="000000" w:themeColor="text1"/>
          <w:szCs w:val="28"/>
          <w:lang w:val="de-DE"/>
          <w14:textFill>
            <w14:solidFill>
              <w14:schemeClr w14:val="tx1"/>
            </w14:solidFill>
          </w14:textFill>
        </w:rPr>
        <w:t>Điều 20. Tổ chức thực hiện</w:t>
      </w:r>
    </w:p>
    <w:p w14:paraId="179CAC7A">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1. Ủy ban nhân dân tỉnh tổ chức triển khai thực hiện Nghị quyết.</w:t>
      </w:r>
    </w:p>
    <w:p w14:paraId="62C42B8D">
      <w:pPr>
        <w:spacing w:before="60" w:after="60" w:line="240" w:lineRule="auto"/>
        <w:ind w:firstLine="720"/>
        <w:rPr>
          <w:color w:val="000000" w:themeColor="text1"/>
          <w:szCs w:val="28"/>
          <w:lang w:val="de-DE"/>
          <w14:textFill>
            <w14:solidFill>
              <w14:schemeClr w14:val="tx1"/>
            </w14:solidFill>
          </w14:textFill>
        </w:rPr>
      </w:pPr>
      <w:r>
        <w:rPr>
          <w:color w:val="000000" w:themeColor="text1"/>
          <w:szCs w:val="28"/>
          <w:lang w:val="de-DE"/>
          <w14:textFill>
            <w14:solidFill>
              <w14:schemeClr w14:val="tx1"/>
            </w14:solidFill>
          </w14:textFill>
        </w:rPr>
        <w:t>2. Thường trực Hội đồng nhân dân, các Ban của Hội đồng nhân dân, các tổ đại biểu Hội đồng nhân dân và đại biểu Hội đồng nhân dân tỉnh giám sát việc thực hiện Nghị quyết này.</w:t>
      </w:r>
    </w:p>
    <w:p w14:paraId="169AABAA">
      <w:pPr>
        <w:spacing w:before="60" w:after="60" w:line="240" w:lineRule="auto"/>
        <w:ind w:firstLine="720"/>
        <w:rPr>
          <w:i/>
          <w:iCs/>
          <w:color w:val="000000" w:themeColor="text1"/>
          <w:szCs w:val="28"/>
          <w:lang w:val="de-DE"/>
          <w14:textFill>
            <w14:solidFill>
              <w14:schemeClr w14:val="tx1"/>
            </w14:solidFill>
          </w14:textFill>
        </w:rPr>
      </w:pPr>
      <w:r>
        <w:rPr>
          <w:i/>
          <w:iCs/>
          <w:color w:val="000000" w:themeColor="text1"/>
          <w:szCs w:val="28"/>
          <w:lang w:val="de-DE"/>
          <w14:textFill>
            <w14:solidFill>
              <w14:schemeClr w14:val="tx1"/>
            </w14:solidFill>
          </w14:textFill>
        </w:rPr>
        <w:t>Nghị quyết này được Hội đồng nhân dân tỉnh Hà Tĩnh khóa …, Kỳ họp thứ … thông qua ngày … tháng … năm 2026./.</w:t>
      </w:r>
    </w:p>
    <w:p w14:paraId="66B1D3A0">
      <w:pPr>
        <w:spacing w:after="0"/>
        <w:jc w:val="left"/>
        <w:rPr>
          <w:color w:val="000000" w:themeColor="text1"/>
          <w:lang w:val="de-DE"/>
          <w14:textFill>
            <w14:solidFill>
              <w14:schemeClr w14:val="tx1"/>
            </w14:solidFill>
          </w14:textFill>
        </w:rPr>
      </w:pPr>
    </w:p>
    <w:tbl>
      <w:tblPr>
        <w:tblStyle w:val="12"/>
        <w:tblW w:w="9259" w:type="dxa"/>
        <w:jc w:val="center"/>
        <w:tblLayout w:type="autofit"/>
        <w:tblCellMar>
          <w:top w:w="0" w:type="dxa"/>
          <w:left w:w="108" w:type="dxa"/>
          <w:bottom w:w="0" w:type="dxa"/>
          <w:right w:w="108" w:type="dxa"/>
        </w:tblCellMar>
      </w:tblPr>
      <w:tblGrid>
        <w:gridCol w:w="5554"/>
        <w:gridCol w:w="3705"/>
      </w:tblGrid>
      <w:tr w14:paraId="6363C0FE">
        <w:tblPrEx>
          <w:tblCellMar>
            <w:top w:w="0" w:type="dxa"/>
            <w:left w:w="108" w:type="dxa"/>
            <w:bottom w:w="0" w:type="dxa"/>
            <w:right w:w="108" w:type="dxa"/>
          </w:tblCellMar>
        </w:tblPrEx>
        <w:trPr>
          <w:trHeight w:val="3056" w:hRule="atLeast"/>
          <w:jc w:val="center"/>
        </w:trPr>
        <w:tc>
          <w:tcPr>
            <w:tcW w:w="5554" w:type="dxa"/>
          </w:tcPr>
          <w:p w14:paraId="4D29C934">
            <w:pPr>
              <w:keepNext/>
              <w:keepLines/>
              <w:spacing w:after="0" w:line="240" w:lineRule="auto"/>
              <w:outlineLvl w:val="0"/>
              <w:rPr>
                <w:rFonts w:eastAsia="Calibri" w:cs="Times New Roman"/>
                <w:b/>
                <w:bCs/>
                <w:color w:val="000000" w:themeColor="text1"/>
                <w:sz w:val="24"/>
                <w:szCs w:val="24"/>
                <w:lang w:val="pt-BR"/>
                <w14:textFill>
                  <w14:solidFill>
                    <w14:schemeClr w14:val="tx1"/>
                  </w14:solidFill>
                </w14:textFill>
              </w:rPr>
            </w:pPr>
            <w:bookmarkStart w:id="0" w:name="dieu_21"/>
            <w:r>
              <w:rPr>
                <w:rFonts w:eastAsia="Calibri" w:cs="Times New Roman"/>
                <w:b/>
                <w:bCs/>
                <w:i/>
                <w:color w:val="000000" w:themeColor="text1"/>
                <w:sz w:val="24"/>
                <w:szCs w:val="24"/>
                <w:lang w:val="pt-BR"/>
                <w14:textFill>
                  <w14:solidFill>
                    <w14:schemeClr w14:val="tx1"/>
                  </w14:solidFill>
                </w14:textFill>
              </w:rPr>
              <w:t>Nơi nhận:</w:t>
            </w:r>
            <w:r>
              <w:rPr>
                <w:rFonts w:eastAsia="Calibri" w:cs="Times New Roman"/>
                <w:b/>
                <w:bCs/>
                <w:color w:val="000000" w:themeColor="text1"/>
                <w:sz w:val="24"/>
                <w:szCs w:val="24"/>
                <w:lang w:val="pt-BR"/>
                <w14:textFill>
                  <w14:solidFill>
                    <w14:schemeClr w14:val="tx1"/>
                  </w14:solidFill>
                </w14:textFill>
              </w:rPr>
              <w:t xml:space="preserve">   </w:t>
            </w:r>
            <w:r>
              <w:rPr>
                <w:rFonts w:eastAsia="Calibri" w:cs="Times New Roman"/>
                <w:b/>
                <w:bCs/>
                <w:color w:val="000000" w:themeColor="text1"/>
                <w:sz w:val="24"/>
                <w:szCs w:val="24"/>
                <w:lang w:val="pt-BR"/>
                <w14:textFill>
                  <w14:solidFill>
                    <w14:schemeClr w14:val="tx1"/>
                  </w14:solidFill>
                </w14:textFill>
              </w:rPr>
              <w:tab/>
            </w:r>
            <w:r>
              <w:rPr>
                <w:rFonts w:eastAsia="Calibri" w:cs="Times New Roman"/>
                <w:b/>
                <w:bCs/>
                <w:color w:val="000000" w:themeColor="text1"/>
                <w:sz w:val="24"/>
                <w:szCs w:val="24"/>
                <w:lang w:val="pt-BR"/>
                <w14:textFill>
                  <w14:solidFill>
                    <w14:schemeClr w14:val="tx1"/>
                  </w14:solidFill>
                </w14:textFill>
              </w:rPr>
              <w:tab/>
            </w:r>
            <w:r>
              <w:rPr>
                <w:rFonts w:eastAsia="Calibri" w:cs="Times New Roman"/>
                <w:b/>
                <w:bCs/>
                <w:color w:val="000000" w:themeColor="text1"/>
                <w:sz w:val="24"/>
                <w:szCs w:val="24"/>
                <w:lang w:val="pt-BR"/>
                <w14:textFill>
                  <w14:solidFill>
                    <w14:schemeClr w14:val="tx1"/>
                  </w14:solidFill>
                </w14:textFill>
              </w:rPr>
              <w:tab/>
            </w:r>
            <w:r>
              <w:rPr>
                <w:rFonts w:eastAsia="Calibri" w:cs="Times New Roman"/>
                <w:b/>
                <w:bCs/>
                <w:color w:val="000000" w:themeColor="text1"/>
                <w:sz w:val="24"/>
                <w:szCs w:val="24"/>
                <w:lang w:val="pt-BR"/>
                <w14:textFill>
                  <w14:solidFill>
                    <w14:schemeClr w14:val="tx1"/>
                  </w14:solidFill>
                </w14:textFill>
              </w:rPr>
              <w:tab/>
            </w:r>
            <w:r>
              <w:rPr>
                <w:rFonts w:eastAsia="Calibri" w:cs="Times New Roman"/>
                <w:b/>
                <w:bCs/>
                <w:color w:val="000000" w:themeColor="text1"/>
                <w:sz w:val="24"/>
                <w:szCs w:val="24"/>
                <w:lang w:val="pt-BR"/>
                <w14:textFill>
                  <w14:solidFill>
                    <w14:schemeClr w14:val="tx1"/>
                  </w14:solidFill>
                </w14:textFill>
              </w:rPr>
              <w:t xml:space="preserve">        </w:t>
            </w:r>
          </w:p>
          <w:p w14:paraId="1459529C">
            <w:pPr>
              <w:spacing w:after="0" w:line="240" w:lineRule="auto"/>
              <w:rPr>
                <w:rFonts w:eastAsia="Calibri" w:cs="Times New Roman"/>
                <w:color w:val="000000" w:themeColor="text1"/>
                <w:sz w:val="22"/>
                <w:lang w:val="pt-BR"/>
                <w14:textFill>
                  <w14:solidFill>
                    <w14:schemeClr w14:val="tx1"/>
                  </w14:solidFill>
                </w14:textFill>
              </w:rPr>
            </w:pPr>
            <w:r>
              <w:rPr>
                <w:rFonts w:eastAsia="Calibri" w:cs="Times New Roman"/>
                <w:color w:val="000000" w:themeColor="text1"/>
                <w:sz w:val="22"/>
                <w:lang w:val="pt-BR"/>
                <w14:textFill>
                  <w14:solidFill>
                    <w14:schemeClr w14:val="tx1"/>
                  </w14:solidFill>
                </w14:textFill>
              </w:rPr>
              <w:t>- Ủy ban Thường vụ Quốc hội;</w:t>
            </w:r>
          </w:p>
          <w:p w14:paraId="2C9E0F12">
            <w:pPr>
              <w:spacing w:after="0" w:line="240" w:lineRule="auto"/>
              <w:rPr>
                <w:rFonts w:eastAsia="Calibri" w:cs="Times New Roman"/>
                <w:color w:val="000000" w:themeColor="text1"/>
                <w:sz w:val="22"/>
                <w:lang w:val="pt-BR"/>
                <w14:textFill>
                  <w14:solidFill>
                    <w14:schemeClr w14:val="tx1"/>
                  </w14:solidFill>
                </w14:textFill>
              </w:rPr>
            </w:pPr>
            <w:r>
              <w:rPr>
                <w:rFonts w:eastAsia="Calibri" w:cs="Times New Roman"/>
                <w:color w:val="000000" w:themeColor="text1"/>
                <w:sz w:val="22"/>
                <w:lang w:val="pt-BR"/>
                <w14:textFill>
                  <w14:solidFill>
                    <w14:schemeClr w14:val="tx1"/>
                  </w14:solidFill>
                </w14:textFill>
              </w:rPr>
              <w:t>- Ban Công tác đại biểu Quốc hội;</w:t>
            </w:r>
          </w:p>
          <w:p w14:paraId="227933ED">
            <w:pPr>
              <w:spacing w:after="0" w:line="240" w:lineRule="auto"/>
              <w:rPr>
                <w:rFonts w:eastAsia="Calibri" w:cs="Times New Roman"/>
                <w:color w:val="000000" w:themeColor="text1"/>
                <w:sz w:val="22"/>
                <w:lang w:val="pt-BR"/>
                <w14:textFill>
                  <w14:solidFill>
                    <w14:schemeClr w14:val="tx1"/>
                  </w14:solidFill>
                </w14:textFill>
              </w:rPr>
            </w:pPr>
            <w:r>
              <w:rPr>
                <w:rFonts w:eastAsia="Calibri" w:cs="Times New Roman"/>
                <w:color w:val="000000" w:themeColor="text1"/>
                <w:sz w:val="22"/>
                <w:lang w:val="pt-BR"/>
                <w14:textFill>
                  <w14:solidFill>
                    <w14:schemeClr w14:val="tx1"/>
                  </w14:solidFill>
                </w14:textFill>
              </w:rPr>
              <w:t>- Văn phòng Quốc hội;</w:t>
            </w:r>
          </w:p>
          <w:p w14:paraId="6D76641C">
            <w:pPr>
              <w:spacing w:after="0" w:line="240" w:lineRule="auto"/>
              <w:rPr>
                <w:rFonts w:eastAsia="Calibri" w:cs="Times New Roman"/>
                <w:color w:val="000000" w:themeColor="text1"/>
                <w:sz w:val="22"/>
                <w:lang w:val="pt-BR"/>
                <w14:textFill>
                  <w14:solidFill>
                    <w14:schemeClr w14:val="tx1"/>
                  </w14:solidFill>
                </w14:textFill>
              </w:rPr>
            </w:pPr>
            <w:r>
              <w:rPr>
                <w:rFonts w:eastAsia="Calibri" w:cs="Times New Roman"/>
                <w:color w:val="000000" w:themeColor="text1"/>
                <w:sz w:val="22"/>
                <w:lang w:val="pt-BR"/>
                <w14:textFill>
                  <w14:solidFill>
                    <w14:schemeClr w14:val="tx1"/>
                  </w14:solidFill>
                </w14:textFill>
              </w:rPr>
              <w:t>- Văn phòng Chủ tịch nước;</w:t>
            </w:r>
          </w:p>
          <w:p w14:paraId="54773B1D">
            <w:pPr>
              <w:spacing w:after="0" w:line="240" w:lineRule="auto"/>
              <w:rPr>
                <w:rFonts w:eastAsia="Calibri" w:cs="Times New Roman"/>
                <w:color w:val="000000" w:themeColor="text1"/>
                <w:sz w:val="22"/>
                <w:lang w:val="pt-BR"/>
                <w14:textFill>
                  <w14:solidFill>
                    <w14:schemeClr w14:val="tx1"/>
                  </w14:solidFill>
                </w14:textFill>
              </w:rPr>
            </w:pPr>
            <w:r>
              <w:rPr>
                <w:rFonts w:eastAsia="Calibri" w:cs="Times New Roman"/>
                <w:color w:val="000000" w:themeColor="text1"/>
                <w:sz w:val="22"/>
                <w:lang w:val="pt-BR"/>
                <w14:textFill>
                  <w14:solidFill>
                    <w14:schemeClr w14:val="tx1"/>
                  </w14:solidFill>
                </w14:textFill>
              </w:rPr>
              <w:t>- Văn phòng Chính phủ, Website chính phủ;</w:t>
            </w:r>
          </w:p>
          <w:p w14:paraId="4AB8D9F5">
            <w:pPr>
              <w:spacing w:after="0" w:line="240" w:lineRule="auto"/>
              <w:rPr>
                <w:rFonts w:eastAsia="Calibri" w:cs="Times New Roman"/>
                <w:color w:val="000000" w:themeColor="text1"/>
                <w:sz w:val="22"/>
                <w:lang w:val="pt-BR"/>
                <w14:textFill>
                  <w14:solidFill>
                    <w14:schemeClr w14:val="tx1"/>
                  </w14:solidFill>
                </w14:textFill>
              </w:rPr>
            </w:pPr>
            <w:r>
              <w:rPr>
                <w:rFonts w:eastAsia="Calibri" w:cs="Times New Roman"/>
                <w:color w:val="000000" w:themeColor="text1"/>
                <w:sz w:val="22"/>
                <w:lang w:val="pt-BR"/>
                <w14:textFill>
                  <w14:solidFill>
                    <w14:schemeClr w14:val="tx1"/>
                  </w14:solidFill>
                </w14:textFill>
              </w:rPr>
              <w:t>- Bộ Y tế;</w:t>
            </w:r>
          </w:p>
          <w:p w14:paraId="284B6BF1">
            <w:pPr>
              <w:spacing w:after="0" w:line="240" w:lineRule="auto"/>
              <w:rPr>
                <w:rFonts w:eastAsia="Calibri" w:cs="Times New Roman"/>
                <w:color w:val="000000" w:themeColor="text1"/>
                <w:sz w:val="22"/>
                <w:lang w:val="pt-BR"/>
                <w14:textFill>
                  <w14:solidFill>
                    <w14:schemeClr w14:val="tx1"/>
                  </w14:solidFill>
                </w14:textFill>
              </w:rPr>
            </w:pPr>
            <w:r>
              <w:rPr>
                <w:rFonts w:eastAsia="Calibri" w:cs="Times New Roman"/>
                <w:color w:val="000000" w:themeColor="text1"/>
                <w:sz w:val="22"/>
                <w:lang w:val="pt-BR"/>
                <w14:textFill>
                  <w14:solidFill>
                    <w14:schemeClr w14:val="tx1"/>
                  </w14:solidFill>
                </w14:textFill>
              </w:rPr>
              <w:t>- Cục Kiểm tra văn bản và Tổ chức thi hành pháp luật,</w:t>
            </w:r>
          </w:p>
          <w:p w14:paraId="437CB4BB">
            <w:pPr>
              <w:spacing w:after="0" w:line="240" w:lineRule="auto"/>
              <w:rPr>
                <w:rFonts w:eastAsia="Calibri" w:cs="Times New Roman"/>
                <w:color w:val="000000" w:themeColor="text1"/>
                <w:sz w:val="22"/>
                <w:lang w:val="pt-BR"/>
                <w14:textFill>
                  <w14:solidFill>
                    <w14:schemeClr w14:val="tx1"/>
                  </w14:solidFill>
                </w14:textFill>
              </w:rPr>
            </w:pPr>
            <w:r>
              <w:rPr>
                <w:rFonts w:eastAsia="Calibri" w:cs="Times New Roman"/>
                <w:color w:val="000000" w:themeColor="text1"/>
                <w:sz w:val="22"/>
                <w:lang w:val="pt-BR"/>
                <w14:textFill>
                  <w14:solidFill>
                    <w14:schemeClr w14:val="tx1"/>
                  </w14:solidFill>
                </w14:textFill>
              </w:rPr>
              <w:t xml:space="preserve"> Bộ Tư pháp;</w:t>
            </w:r>
          </w:p>
          <w:p w14:paraId="233C6CA8">
            <w:pPr>
              <w:spacing w:after="0" w:line="240" w:lineRule="auto"/>
              <w:rPr>
                <w:rFonts w:eastAsia="Calibri" w:cs="Times New Roman"/>
                <w:color w:val="000000" w:themeColor="text1"/>
                <w:sz w:val="22"/>
                <w:lang w:val="pt-BR"/>
                <w14:textFill>
                  <w14:solidFill>
                    <w14:schemeClr w14:val="tx1"/>
                  </w14:solidFill>
                </w14:textFill>
              </w:rPr>
            </w:pPr>
            <w:r>
              <w:rPr>
                <w:rFonts w:eastAsia="Calibri" w:cs="Times New Roman"/>
                <w:color w:val="000000" w:themeColor="text1"/>
                <w:sz w:val="22"/>
                <w:lang w:val="pt-BR"/>
                <w14:textFill>
                  <w14:solidFill>
                    <w14:schemeClr w14:val="tx1"/>
                  </w14:solidFill>
                </w14:textFill>
              </w:rPr>
              <w:t>- Kiểm toán Nhà nước khu vực II;</w:t>
            </w:r>
          </w:p>
          <w:p w14:paraId="18C5BE17">
            <w:pPr>
              <w:spacing w:after="0" w:line="240" w:lineRule="auto"/>
              <w:rPr>
                <w:rFonts w:eastAsia="Calibri" w:cs="Times New Roman"/>
                <w:color w:val="000000" w:themeColor="text1"/>
                <w:sz w:val="22"/>
                <w:lang w:val="pt-BR"/>
                <w14:textFill>
                  <w14:solidFill>
                    <w14:schemeClr w14:val="tx1"/>
                  </w14:solidFill>
                </w14:textFill>
              </w:rPr>
            </w:pPr>
            <w:r>
              <w:rPr>
                <w:rFonts w:eastAsia="Calibri" w:cs="Times New Roman"/>
                <w:color w:val="000000" w:themeColor="text1"/>
                <w:sz w:val="22"/>
                <w:lang w:val="pt-BR"/>
                <w14:textFill>
                  <w14:solidFill>
                    <w14:schemeClr w14:val="tx1"/>
                  </w14:solidFill>
                </w14:textFill>
              </w:rPr>
              <w:t>- TT Tỉnh ủy, TT HĐND tỉnh;</w:t>
            </w:r>
          </w:p>
          <w:p w14:paraId="55F5C953">
            <w:pPr>
              <w:spacing w:after="0" w:line="240" w:lineRule="auto"/>
              <w:rPr>
                <w:rFonts w:cs="Times New Roman"/>
                <w:color w:val="000000" w:themeColor="text1"/>
                <w:sz w:val="22"/>
                <w:lang w:val="pt-BR"/>
                <w14:textFill>
                  <w14:solidFill>
                    <w14:schemeClr w14:val="tx1"/>
                  </w14:solidFill>
                </w14:textFill>
              </w:rPr>
            </w:pPr>
            <w:r>
              <w:rPr>
                <w:rFonts w:cs="Times New Roman"/>
                <w:color w:val="000000" w:themeColor="text1"/>
                <w:sz w:val="22"/>
                <w:lang w:val="pt-BR"/>
                <w14:textFill>
                  <w14:solidFill>
                    <w14:schemeClr w14:val="tx1"/>
                  </w14:solidFill>
                </w14:textFill>
              </w:rPr>
              <w:t>- UBND tỉnh, UBMTTQ tỉnh;</w:t>
            </w:r>
          </w:p>
          <w:p w14:paraId="6068B078">
            <w:pPr>
              <w:spacing w:after="0" w:line="240" w:lineRule="auto"/>
              <w:rPr>
                <w:rFonts w:cs="Times New Roman"/>
                <w:color w:val="000000" w:themeColor="text1"/>
                <w:sz w:val="22"/>
                <w:lang w:val="pt-BR"/>
                <w14:textFill>
                  <w14:solidFill>
                    <w14:schemeClr w14:val="tx1"/>
                  </w14:solidFill>
                </w14:textFill>
              </w:rPr>
            </w:pPr>
            <w:r>
              <w:rPr>
                <w:rFonts w:cs="Times New Roman"/>
                <w:color w:val="000000" w:themeColor="text1"/>
                <w:sz w:val="22"/>
                <w:lang w:val="pt-BR"/>
                <w14:textFill>
                  <w14:solidFill>
                    <w14:schemeClr w14:val="tx1"/>
                  </w14:solidFill>
                </w14:textFill>
              </w:rPr>
              <w:t>- Đoàn đại biểu Quốc hội tỉnh Hà Tĩnh;</w:t>
            </w:r>
          </w:p>
          <w:p w14:paraId="14533BEE">
            <w:pPr>
              <w:spacing w:after="0" w:line="240" w:lineRule="auto"/>
              <w:rPr>
                <w:rFonts w:cs="Times New Roman"/>
                <w:color w:val="000000" w:themeColor="text1"/>
                <w:sz w:val="22"/>
                <w:lang w:val="pt-BR"/>
                <w14:textFill>
                  <w14:solidFill>
                    <w14:schemeClr w14:val="tx1"/>
                  </w14:solidFill>
                </w14:textFill>
              </w:rPr>
            </w:pPr>
            <w:r>
              <w:rPr>
                <w:rFonts w:cs="Times New Roman"/>
                <w:color w:val="000000" w:themeColor="text1"/>
                <w:sz w:val="22"/>
                <w:lang w:val="pt-BR"/>
                <w14:textFill>
                  <w14:solidFill>
                    <w14:schemeClr w14:val="tx1"/>
                  </w14:solidFill>
                </w14:textFill>
              </w:rPr>
              <w:t>- Đại biểu HĐND tỉnh;</w:t>
            </w:r>
          </w:p>
          <w:p w14:paraId="20F699CF">
            <w:pPr>
              <w:spacing w:after="0" w:line="240" w:lineRule="auto"/>
              <w:rPr>
                <w:rFonts w:cs="Times New Roman"/>
                <w:color w:val="000000" w:themeColor="text1"/>
                <w:sz w:val="22"/>
                <w:lang w:val="pt-BR"/>
                <w14:textFill>
                  <w14:solidFill>
                    <w14:schemeClr w14:val="tx1"/>
                  </w14:solidFill>
                </w14:textFill>
              </w:rPr>
            </w:pPr>
            <w:r>
              <w:rPr>
                <w:rFonts w:cs="Times New Roman"/>
                <w:color w:val="000000" w:themeColor="text1"/>
                <w:sz w:val="22"/>
                <w:lang w:val="pt-BR"/>
                <w14:textFill>
                  <w14:solidFill>
                    <w14:schemeClr w14:val="tx1"/>
                  </w14:solidFill>
                </w14:textFill>
              </w:rPr>
              <w:t>- Các Ban HĐND tỉnh;</w:t>
            </w:r>
          </w:p>
          <w:p w14:paraId="583A84F7">
            <w:pPr>
              <w:spacing w:after="0" w:line="240" w:lineRule="auto"/>
              <w:rPr>
                <w:rFonts w:cs="Times New Roman"/>
                <w:color w:val="000000" w:themeColor="text1"/>
                <w:sz w:val="22"/>
                <w:lang w:val="pt-BR"/>
                <w14:textFill>
                  <w14:solidFill>
                    <w14:schemeClr w14:val="tx1"/>
                  </w14:solidFill>
                </w14:textFill>
              </w:rPr>
            </w:pPr>
            <w:r>
              <w:rPr>
                <w:rFonts w:cs="Times New Roman"/>
                <w:color w:val="000000" w:themeColor="text1"/>
                <w:sz w:val="22"/>
                <w:lang w:val="pt-BR"/>
                <w14:textFill>
                  <w14:solidFill>
                    <w14:schemeClr w14:val="tx1"/>
                  </w14:solidFill>
                </w14:textFill>
              </w:rPr>
              <w:t>- VP: Tỉnh ủy, Đoàn ĐBQH và HĐND tỉnh, UBND tỉnh;</w:t>
            </w:r>
          </w:p>
          <w:p w14:paraId="3D2B717C">
            <w:pPr>
              <w:spacing w:after="0" w:line="240" w:lineRule="auto"/>
              <w:rPr>
                <w:rFonts w:cs="Times New Roman"/>
                <w:color w:val="000000" w:themeColor="text1"/>
                <w:sz w:val="22"/>
                <w:lang w:val="pt-BR"/>
                <w14:textFill>
                  <w14:solidFill>
                    <w14:schemeClr w14:val="tx1"/>
                  </w14:solidFill>
                </w14:textFill>
              </w:rPr>
            </w:pPr>
            <w:r>
              <w:rPr>
                <w:rFonts w:cs="Times New Roman"/>
                <w:color w:val="000000" w:themeColor="text1"/>
                <w:sz w:val="22"/>
                <w:lang w:val="pt-BR"/>
                <w14:textFill>
                  <w14:solidFill>
                    <w14:schemeClr w14:val="tx1"/>
                  </w14:solidFill>
                </w14:textFill>
              </w:rPr>
              <w:t>- Các Sở, ban, ngành, đoàn thể cấp tỉnh;</w:t>
            </w:r>
          </w:p>
          <w:p w14:paraId="596CC84A">
            <w:pPr>
              <w:spacing w:after="0" w:line="240" w:lineRule="auto"/>
              <w:rPr>
                <w:rFonts w:cs="Times New Roman"/>
                <w:color w:val="000000" w:themeColor="text1"/>
                <w:sz w:val="22"/>
                <w:lang w:val="pt-BR"/>
                <w14:textFill>
                  <w14:solidFill>
                    <w14:schemeClr w14:val="tx1"/>
                  </w14:solidFill>
                </w14:textFill>
              </w:rPr>
            </w:pPr>
            <w:r>
              <w:rPr>
                <w:rFonts w:cs="Times New Roman"/>
                <w:color w:val="000000" w:themeColor="text1"/>
                <w:sz w:val="22"/>
                <w:lang w:val="pt-BR"/>
                <w14:textFill>
                  <w14:solidFill>
                    <w14:schemeClr w14:val="tx1"/>
                  </w14:solidFill>
                </w14:textFill>
              </w:rPr>
              <w:t>- TT HĐND, UBND các xã, phường;</w:t>
            </w:r>
          </w:p>
          <w:p w14:paraId="26587B40">
            <w:pPr>
              <w:spacing w:after="0" w:line="240" w:lineRule="auto"/>
              <w:rPr>
                <w:rFonts w:cs="Times New Roman"/>
                <w:color w:val="000000" w:themeColor="text1"/>
                <w:sz w:val="22"/>
                <w:lang w:val="pt-BR"/>
                <w14:textFill>
                  <w14:solidFill>
                    <w14:schemeClr w14:val="tx1"/>
                  </w14:solidFill>
                </w14:textFill>
              </w:rPr>
            </w:pPr>
            <w:r>
              <w:rPr>
                <w:rFonts w:cs="Times New Roman"/>
                <w:color w:val="000000" w:themeColor="text1"/>
                <w:sz w:val="22"/>
                <w:lang w:val="pt-BR"/>
                <w14:textFill>
                  <w14:solidFill>
                    <w14:schemeClr w14:val="tx1"/>
                  </w14:solidFill>
                </w14:textFill>
              </w:rPr>
              <w:t>- Trung tâm Thông tin và Xúc tiến, hỗ trợ đầu tư tỉnh;</w:t>
            </w:r>
          </w:p>
          <w:p w14:paraId="5AACB202">
            <w:pPr>
              <w:spacing w:after="0" w:line="240" w:lineRule="auto"/>
              <w:rPr>
                <w:rFonts w:cs="Times New Roman"/>
                <w:color w:val="000000" w:themeColor="text1"/>
                <w:sz w:val="22"/>
                <w:lang w:val="pt-BR"/>
                <w14:textFill>
                  <w14:solidFill>
                    <w14:schemeClr w14:val="tx1"/>
                  </w14:solidFill>
                </w14:textFill>
              </w:rPr>
            </w:pPr>
            <w:r>
              <w:rPr>
                <w:rFonts w:cs="Times New Roman"/>
                <w:color w:val="000000" w:themeColor="text1"/>
                <w:sz w:val="22"/>
                <w:lang w:val="pt-BR"/>
                <w14:textFill>
                  <w14:solidFill>
                    <w14:schemeClr w14:val="tx1"/>
                  </w14:solidFill>
                </w14:textFill>
              </w:rPr>
              <w:t>- Cổng Thông tin điện tử tỉnh;</w:t>
            </w:r>
          </w:p>
          <w:p w14:paraId="1660F0D1">
            <w:pPr>
              <w:spacing w:after="0" w:line="240" w:lineRule="auto"/>
              <w:rPr>
                <w:rFonts w:cs="Times New Roman"/>
                <w:color w:val="000000" w:themeColor="text1"/>
                <w:sz w:val="22"/>
                <w:lang w:val="pt-BR"/>
                <w14:textFill>
                  <w14:solidFill>
                    <w14:schemeClr w14:val="tx1"/>
                  </w14:solidFill>
                </w14:textFill>
              </w:rPr>
            </w:pPr>
            <w:r>
              <w:rPr>
                <w:rFonts w:cs="Times New Roman"/>
                <w:color w:val="000000" w:themeColor="text1"/>
                <w:sz w:val="22"/>
                <w:lang w:val="pt-BR"/>
                <w14:textFill>
                  <w14:solidFill>
                    <w14:schemeClr w14:val="tx1"/>
                  </w14:solidFill>
                </w14:textFill>
              </w:rPr>
              <w:t>- Báo và Phát thanh truyền hình tỉnh;</w:t>
            </w:r>
          </w:p>
          <w:p w14:paraId="7F345037">
            <w:pPr>
              <w:spacing w:after="0" w:line="240" w:lineRule="auto"/>
              <w:rPr>
                <w:rFonts w:eastAsia="Calibri" w:cs="Times New Roman"/>
                <w:color w:val="000000" w:themeColor="text1"/>
                <w:szCs w:val="28"/>
                <w:lang w:val="nb-NO"/>
                <w14:textFill>
                  <w14:solidFill>
                    <w14:schemeClr w14:val="tx1"/>
                  </w14:solidFill>
                </w14:textFill>
              </w:rPr>
            </w:pPr>
            <w:r>
              <w:rPr>
                <w:rFonts w:eastAsia="Calibri" w:cs="Times New Roman"/>
                <w:color w:val="000000" w:themeColor="text1"/>
                <w:sz w:val="22"/>
                <w14:textFill>
                  <w14:solidFill>
                    <w14:schemeClr w14:val="tx1"/>
                  </w14:solidFill>
                </w14:textFill>
              </w:rPr>
              <w:t>- Lưu: VT, TH.</w:t>
            </w:r>
          </w:p>
        </w:tc>
        <w:tc>
          <w:tcPr>
            <w:tcW w:w="3705" w:type="dxa"/>
          </w:tcPr>
          <w:p w14:paraId="1D6FA66F">
            <w:pPr>
              <w:spacing w:after="0" w:line="240" w:lineRule="auto"/>
              <w:jc w:val="center"/>
              <w:rPr>
                <w:rFonts w:eastAsia="Calibri" w:cs="Times New Roman"/>
                <w:b/>
                <w:color w:val="000000" w:themeColor="text1"/>
                <w:szCs w:val="28"/>
                <w:lang w:val="nb-NO"/>
                <w14:textFill>
                  <w14:solidFill>
                    <w14:schemeClr w14:val="tx1"/>
                  </w14:solidFill>
                </w14:textFill>
              </w:rPr>
            </w:pPr>
            <w:r>
              <w:rPr>
                <w:rFonts w:eastAsia="Calibri" w:cs="Times New Roman"/>
                <w:b/>
                <w:color w:val="000000" w:themeColor="text1"/>
                <w:szCs w:val="28"/>
                <w:lang w:val="nb-NO"/>
                <w14:textFill>
                  <w14:solidFill>
                    <w14:schemeClr w14:val="tx1"/>
                  </w14:solidFill>
                </w14:textFill>
              </w:rPr>
              <w:t>CHỦ TỊCH</w:t>
            </w:r>
          </w:p>
          <w:p w14:paraId="363A6A7C">
            <w:pPr>
              <w:spacing w:after="0" w:line="240" w:lineRule="auto"/>
              <w:jc w:val="center"/>
              <w:rPr>
                <w:rFonts w:eastAsia="Calibri" w:cs="Times New Roman"/>
                <w:b/>
                <w:color w:val="000000" w:themeColor="text1"/>
                <w:szCs w:val="28"/>
                <w:lang w:val="nb-NO"/>
                <w14:textFill>
                  <w14:solidFill>
                    <w14:schemeClr w14:val="tx1"/>
                  </w14:solidFill>
                </w14:textFill>
              </w:rPr>
            </w:pPr>
          </w:p>
          <w:p w14:paraId="7BF0A105">
            <w:pPr>
              <w:spacing w:after="0" w:line="240" w:lineRule="auto"/>
              <w:jc w:val="center"/>
              <w:rPr>
                <w:rFonts w:eastAsia="Calibri" w:cs="Times New Roman"/>
                <w:b/>
                <w:color w:val="000000" w:themeColor="text1"/>
                <w:szCs w:val="28"/>
                <w:lang w:val="nb-NO"/>
                <w14:textFill>
                  <w14:solidFill>
                    <w14:schemeClr w14:val="tx1"/>
                  </w14:solidFill>
                </w14:textFill>
              </w:rPr>
            </w:pPr>
          </w:p>
          <w:p w14:paraId="152CF540">
            <w:pPr>
              <w:spacing w:after="0" w:line="240" w:lineRule="auto"/>
              <w:jc w:val="center"/>
              <w:rPr>
                <w:rFonts w:eastAsia="Calibri" w:cs="Times New Roman"/>
                <w:b/>
                <w:color w:val="000000" w:themeColor="text1"/>
                <w:szCs w:val="28"/>
                <w:lang w:val="nb-NO"/>
                <w14:textFill>
                  <w14:solidFill>
                    <w14:schemeClr w14:val="tx1"/>
                  </w14:solidFill>
                </w14:textFill>
              </w:rPr>
            </w:pPr>
          </w:p>
          <w:p w14:paraId="52E7087D">
            <w:pPr>
              <w:spacing w:after="0" w:line="240" w:lineRule="auto"/>
              <w:jc w:val="center"/>
              <w:rPr>
                <w:rFonts w:eastAsia="Calibri" w:cs="Times New Roman"/>
                <w:b/>
                <w:color w:val="000000" w:themeColor="text1"/>
                <w:szCs w:val="28"/>
                <w:lang w:val="nb-NO"/>
                <w14:textFill>
                  <w14:solidFill>
                    <w14:schemeClr w14:val="tx1"/>
                  </w14:solidFill>
                </w14:textFill>
              </w:rPr>
            </w:pPr>
          </w:p>
          <w:p w14:paraId="1E57C36A">
            <w:pPr>
              <w:spacing w:after="0" w:line="240" w:lineRule="auto"/>
              <w:jc w:val="center"/>
              <w:rPr>
                <w:rFonts w:eastAsia="Calibri" w:cs="Times New Roman"/>
                <w:b/>
                <w:color w:val="000000" w:themeColor="text1"/>
                <w:szCs w:val="28"/>
                <w:lang w:val="nb-NO"/>
                <w14:textFill>
                  <w14:solidFill>
                    <w14:schemeClr w14:val="tx1"/>
                  </w14:solidFill>
                </w14:textFill>
              </w:rPr>
            </w:pPr>
          </w:p>
          <w:p w14:paraId="63D14359">
            <w:pPr>
              <w:spacing w:after="0" w:line="240" w:lineRule="auto"/>
              <w:jc w:val="center"/>
              <w:rPr>
                <w:rFonts w:eastAsia="Calibri" w:cs="Times New Roman"/>
                <w:b/>
                <w:color w:val="000000" w:themeColor="text1"/>
                <w:szCs w:val="28"/>
                <w:lang w:val="nb-NO"/>
                <w14:textFill>
                  <w14:solidFill>
                    <w14:schemeClr w14:val="tx1"/>
                  </w14:solidFill>
                </w14:textFill>
              </w:rPr>
            </w:pPr>
          </w:p>
          <w:p w14:paraId="55870F8D">
            <w:pPr>
              <w:spacing w:after="0" w:line="240" w:lineRule="auto"/>
              <w:rPr>
                <w:rFonts w:eastAsia="Calibri" w:cs="Times New Roman"/>
                <w:b/>
                <w:color w:val="000000" w:themeColor="text1"/>
                <w:szCs w:val="28"/>
                <w:lang w:val="nb-NO"/>
                <w14:textFill>
                  <w14:solidFill>
                    <w14:schemeClr w14:val="tx1"/>
                  </w14:solidFill>
                </w14:textFill>
              </w:rPr>
            </w:pPr>
          </w:p>
          <w:p w14:paraId="38191074">
            <w:pPr>
              <w:spacing w:after="0" w:line="240" w:lineRule="auto"/>
              <w:rPr>
                <w:rFonts w:eastAsia="Calibri" w:cs="Times New Roman"/>
                <w:b/>
                <w:color w:val="000000" w:themeColor="text1"/>
                <w:szCs w:val="28"/>
                <w:lang w:val="nb-NO"/>
                <w14:textFill>
                  <w14:solidFill>
                    <w14:schemeClr w14:val="tx1"/>
                  </w14:solidFill>
                </w14:textFill>
              </w:rPr>
            </w:pPr>
          </w:p>
          <w:p w14:paraId="4BA4D97E">
            <w:pPr>
              <w:spacing w:after="0" w:line="240" w:lineRule="auto"/>
              <w:rPr>
                <w:rFonts w:eastAsia="Calibri" w:cs="Times New Roman"/>
                <w:b/>
                <w:color w:val="000000" w:themeColor="text1"/>
                <w:szCs w:val="28"/>
                <w:lang w:val="nb-NO"/>
                <w14:textFill>
                  <w14:solidFill>
                    <w14:schemeClr w14:val="tx1"/>
                  </w14:solidFill>
                </w14:textFill>
              </w:rPr>
            </w:pPr>
          </w:p>
          <w:p w14:paraId="6E70D2DA">
            <w:pPr>
              <w:spacing w:after="0" w:line="240" w:lineRule="auto"/>
              <w:rPr>
                <w:rFonts w:eastAsia="Calibri" w:cs="Times New Roman"/>
                <w:b/>
                <w:color w:val="000000" w:themeColor="text1"/>
                <w:szCs w:val="28"/>
                <w:lang w:val="nb-NO"/>
                <w14:textFill>
                  <w14:solidFill>
                    <w14:schemeClr w14:val="tx1"/>
                  </w14:solidFill>
                </w14:textFill>
              </w:rPr>
            </w:pPr>
          </w:p>
          <w:p w14:paraId="746C5B2F">
            <w:pPr>
              <w:spacing w:after="0" w:line="240" w:lineRule="auto"/>
              <w:rPr>
                <w:rFonts w:eastAsia="Calibri" w:cs="Times New Roman"/>
                <w:b/>
                <w:color w:val="000000" w:themeColor="text1"/>
                <w:szCs w:val="28"/>
                <w:lang w:val="nb-NO"/>
                <w14:textFill>
                  <w14:solidFill>
                    <w14:schemeClr w14:val="tx1"/>
                  </w14:solidFill>
                </w14:textFill>
              </w:rPr>
            </w:pPr>
          </w:p>
          <w:p w14:paraId="4BC884D9">
            <w:pPr>
              <w:spacing w:after="0" w:line="240" w:lineRule="auto"/>
              <w:jc w:val="center"/>
              <w:rPr>
                <w:rFonts w:eastAsia="Calibri" w:cs="Times New Roman"/>
                <w:b/>
                <w:color w:val="000000" w:themeColor="text1"/>
                <w:szCs w:val="28"/>
                <w:lang w:val="nb-NO"/>
                <w14:textFill>
                  <w14:solidFill>
                    <w14:schemeClr w14:val="tx1"/>
                  </w14:solidFill>
                </w14:textFill>
              </w:rPr>
            </w:pPr>
          </w:p>
        </w:tc>
      </w:tr>
      <w:bookmarkEnd w:id="0"/>
    </w:tbl>
    <w:p w14:paraId="2BD013F7">
      <w:pPr>
        <w:spacing w:after="0"/>
        <w:jc w:val="center"/>
        <w:rPr>
          <w:color w:val="000000" w:themeColor="text1"/>
          <w14:textFill>
            <w14:solidFill>
              <w14:schemeClr w14:val="tx1"/>
            </w14:solidFill>
          </w14:textFill>
        </w:rPr>
      </w:pPr>
    </w:p>
    <w:p w14:paraId="7613A85C">
      <w:pPr>
        <w:spacing w:after="0"/>
        <w:jc w:val="center"/>
        <w:rPr>
          <w:color w:val="000000" w:themeColor="text1"/>
          <w14:textFill>
            <w14:solidFill>
              <w14:schemeClr w14:val="tx1"/>
            </w14:solidFill>
          </w14:textFill>
        </w:rPr>
      </w:pPr>
    </w:p>
    <w:p w14:paraId="176C3350">
      <w:pPr>
        <w:spacing w:after="0"/>
        <w:jc w:val="center"/>
        <w:rPr>
          <w:color w:val="000000" w:themeColor="text1"/>
          <w14:textFill>
            <w14:solidFill>
              <w14:schemeClr w14:val="tx1"/>
            </w14:solidFill>
          </w14:textFill>
        </w:rPr>
      </w:pPr>
    </w:p>
    <w:p w14:paraId="0C5B6090">
      <w:pPr>
        <w:spacing w:after="0"/>
        <w:jc w:val="center"/>
        <w:rPr>
          <w:color w:val="000000" w:themeColor="text1"/>
          <w14:textFill>
            <w14:solidFill>
              <w14:schemeClr w14:val="tx1"/>
            </w14:solidFill>
          </w14:textFill>
        </w:rPr>
      </w:pPr>
    </w:p>
    <w:p w14:paraId="7247D312">
      <w:pPr>
        <w:spacing w:after="0"/>
        <w:jc w:val="center"/>
        <w:rPr>
          <w:color w:val="000000" w:themeColor="text1"/>
          <w14:textFill>
            <w14:solidFill>
              <w14:schemeClr w14:val="tx1"/>
            </w14:solidFill>
          </w14:textFill>
        </w:rPr>
      </w:pPr>
    </w:p>
    <w:p w14:paraId="43A49CFB">
      <w:pPr>
        <w:spacing w:after="0"/>
        <w:jc w:val="center"/>
        <w:rPr>
          <w:color w:val="000000" w:themeColor="text1"/>
          <w14:textFill>
            <w14:solidFill>
              <w14:schemeClr w14:val="tx1"/>
            </w14:solidFill>
          </w14:textFill>
        </w:rPr>
      </w:pPr>
    </w:p>
    <w:p w14:paraId="34322302">
      <w:pPr>
        <w:spacing w:after="0"/>
        <w:jc w:val="center"/>
        <w:rPr>
          <w:color w:val="000000" w:themeColor="text1"/>
          <w14:textFill>
            <w14:solidFill>
              <w14:schemeClr w14:val="tx1"/>
            </w14:solidFill>
          </w14:textFill>
        </w:rPr>
      </w:pPr>
    </w:p>
    <w:p w14:paraId="4E01B50C">
      <w:pPr>
        <w:spacing w:after="0"/>
        <w:jc w:val="center"/>
        <w:rPr>
          <w:color w:val="000000" w:themeColor="text1"/>
          <w14:textFill>
            <w14:solidFill>
              <w14:schemeClr w14:val="tx1"/>
            </w14:solidFill>
          </w14:textFill>
        </w:rPr>
      </w:pPr>
    </w:p>
    <w:p w14:paraId="13406510">
      <w:pPr>
        <w:spacing w:after="0"/>
        <w:jc w:val="center"/>
        <w:rPr>
          <w:color w:val="000000" w:themeColor="text1"/>
          <w14:textFill>
            <w14:solidFill>
              <w14:schemeClr w14:val="tx1"/>
            </w14:solidFill>
          </w14:textFill>
        </w:rPr>
      </w:pPr>
    </w:p>
    <w:p w14:paraId="2F9322E2">
      <w:pPr>
        <w:spacing w:after="0"/>
        <w:jc w:val="center"/>
        <w:rPr>
          <w:color w:val="000000" w:themeColor="text1"/>
          <w14:textFill>
            <w14:solidFill>
              <w14:schemeClr w14:val="tx1"/>
            </w14:solidFill>
          </w14:textFill>
        </w:rPr>
      </w:pPr>
    </w:p>
    <w:p w14:paraId="016C4700">
      <w:pPr>
        <w:spacing w:after="0"/>
        <w:jc w:val="center"/>
        <w:rPr>
          <w:color w:val="000000" w:themeColor="text1"/>
          <w14:textFill>
            <w14:solidFill>
              <w14:schemeClr w14:val="tx1"/>
            </w14:solidFill>
          </w14:textFill>
        </w:rPr>
      </w:pPr>
    </w:p>
    <w:p w14:paraId="05940F12">
      <w:pPr>
        <w:spacing w:after="0"/>
        <w:jc w:val="center"/>
        <w:rPr>
          <w:color w:val="000000" w:themeColor="text1"/>
          <w14:textFill>
            <w14:solidFill>
              <w14:schemeClr w14:val="tx1"/>
            </w14:solidFill>
          </w14:textFill>
        </w:rPr>
      </w:pPr>
    </w:p>
    <w:p w14:paraId="484B33E1">
      <w:pPr>
        <w:spacing w:after="0"/>
        <w:jc w:val="center"/>
        <w:rPr>
          <w:color w:val="000000" w:themeColor="text1"/>
          <w14:textFill>
            <w14:solidFill>
              <w14:schemeClr w14:val="tx1"/>
            </w14:solidFill>
          </w14:textFill>
        </w:rPr>
      </w:pPr>
    </w:p>
    <w:p w14:paraId="52818FC6">
      <w:pPr>
        <w:spacing w:after="0"/>
        <w:jc w:val="center"/>
        <w:rPr>
          <w:color w:val="000000" w:themeColor="text1"/>
          <w14:textFill>
            <w14:solidFill>
              <w14:schemeClr w14:val="tx1"/>
            </w14:solidFill>
          </w14:textFill>
        </w:rPr>
      </w:pPr>
    </w:p>
    <w:p w14:paraId="669693CD">
      <w:pPr>
        <w:spacing w:after="0"/>
        <w:jc w:val="center"/>
        <w:rPr>
          <w:color w:val="000000" w:themeColor="text1"/>
          <w14:textFill>
            <w14:solidFill>
              <w14:schemeClr w14:val="tx1"/>
            </w14:solidFill>
          </w14:textFill>
        </w:rPr>
      </w:pPr>
    </w:p>
    <w:p w14:paraId="09309F7D">
      <w:pPr>
        <w:spacing w:after="0"/>
        <w:jc w:val="center"/>
        <w:rPr>
          <w:color w:val="000000" w:themeColor="text1"/>
          <w14:textFill>
            <w14:solidFill>
              <w14:schemeClr w14:val="tx1"/>
            </w14:solidFill>
          </w14:textFill>
        </w:rPr>
      </w:pPr>
    </w:p>
    <w:p w14:paraId="5B0B491B">
      <w:pPr>
        <w:tabs>
          <w:tab w:val="left" w:pos="4055"/>
        </w:tabs>
        <w:spacing w:after="0"/>
        <w:jc w:val="center"/>
        <w:rPr>
          <w:rFonts w:cs="Times New Roman"/>
          <w:color w:val="000000" w:themeColor="text1"/>
          <w:szCs w:val="28"/>
          <w14:textFill>
            <w14:solidFill>
              <w14:schemeClr w14:val="tx1"/>
            </w14:solidFill>
          </w14:textFill>
        </w:rPr>
      </w:pPr>
      <w:r>
        <w:rPr>
          <w:rFonts w:cs="Times New Roman"/>
          <w:b/>
          <w:color w:val="000000" w:themeColor="text1"/>
          <w:szCs w:val="28"/>
          <w14:textFill>
            <w14:solidFill>
              <w14:schemeClr w14:val="tx1"/>
            </w14:solidFill>
          </w14:textFill>
        </w:rPr>
        <w:t>Phụ lục I</w:t>
      </w:r>
    </w:p>
    <w:p w14:paraId="5BD06B78">
      <w:pPr>
        <w:jc w:val="center"/>
        <w:rPr>
          <w:rFonts w:cs="Times New Roman"/>
          <w:i/>
          <w:color w:val="000000" w:themeColor="text1"/>
          <w:szCs w:val="28"/>
          <w14:textFill>
            <w14:solidFill>
              <w14:schemeClr w14:val="tx1"/>
            </w14:solidFill>
          </w14:textFill>
        </w:rPr>
      </w:pPr>
      <w:r>
        <w:rPr>
          <w:rStyle w:val="170"/>
          <w:rFonts w:cs="Times New Roman"/>
          <w:b/>
          <w:bCs/>
          <w:color w:val="000000" w:themeColor="text1"/>
          <w:szCs w:val="28"/>
          <w:shd w:val="clear" w:color="auto" w:fill="FCFCFC"/>
          <w14:textFill>
            <w14:solidFill>
              <w14:schemeClr w14:val="tx1"/>
            </w14:solidFill>
          </w14:textFill>
        </w:rPr>
        <w:t>LẬP DỰ TOÁN, PHÂN BỔ, QUẢN LÝ, SỬ DỤNG, THANH TOÁN VÀ QUYẾT TOÁN KINH PHÍ THỰC HIỆN CHÍNH SÁCH</w:t>
      </w:r>
      <w:r>
        <w:rPr>
          <w:rFonts w:cs="Times New Roman"/>
          <w:i/>
          <w:color w:val="000000" w:themeColor="text1"/>
          <w:szCs w:val="28"/>
          <w14:textFill>
            <w14:solidFill>
              <w14:schemeClr w14:val="tx1"/>
            </w14:solidFill>
          </w14:textFill>
        </w:rPr>
        <w:t xml:space="preserve"> </w:t>
      </w:r>
    </w:p>
    <w:p w14:paraId="7B1F4EBB">
      <w:pPr>
        <w:jc w:val="center"/>
        <w:rPr>
          <w:rFonts w:cs="Times New Roman"/>
          <w:color w:val="000000" w:themeColor="text1"/>
          <w:szCs w:val="28"/>
          <w14:textFill>
            <w14:solidFill>
              <w14:schemeClr w14:val="tx1"/>
            </w14:solidFill>
          </w14:textFill>
        </w:rPr>
      </w:pPr>
      <w:r>
        <w:rPr>
          <w:rFonts w:cs="Times New Roman"/>
          <w:i/>
          <w:color w:val="000000" w:themeColor="text1"/>
          <w:szCs w:val="28"/>
          <w14:textFill>
            <w14:solidFill>
              <w14:schemeClr w14:val="tx1"/>
            </w14:solidFill>
          </w14:textFill>
        </w:rPr>
        <w:t>(Kèm theo Nghị quyết số      /2026/NQ-HĐND ngày      tháng      năm 2026 của Hội đồng nhân dân tỉnh Hà Tĩnh)</w:t>
      </w:r>
    </w:p>
    <w:p w14:paraId="00599BC1">
      <w:pPr>
        <w:pStyle w:val="4"/>
        <w:shd w:val="clear" w:color="auto" w:fill="FCFCFC"/>
        <w:spacing w:before="0" w:line="240" w:lineRule="auto"/>
        <w:ind w:firstLine="720"/>
        <w:rPr>
          <w:rFonts w:ascii="Times New Roman" w:hAnsi="Times New Roman" w:cs="Times New Roman"/>
          <w:color w:val="000000" w:themeColor="text1"/>
          <w:szCs w:val="28"/>
          <w14:textFill>
            <w14:solidFill>
              <w14:schemeClr w14:val="tx1"/>
            </w14:solidFill>
          </w14:textFill>
        </w:rPr>
      </w:pPr>
      <w:r>
        <w:rPr>
          <w:rFonts w:ascii="Times New Roman" w:hAnsi="Times New Roman" w:cs="Times New Roman"/>
          <w:color w:val="000000" w:themeColor="text1"/>
          <w:szCs w:val="28"/>
          <w14:textFill>
            <w14:solidFill>
              <w14:schemeClr w14:val="tx1"/>
            </w14:solidFill>
          </w14:textFill>
        </w:rPr>
        <w:t>1. Lập dự toán kinh phí</w:t>
      </w:r>
    </w:p>
    <w:p w14:paraId="7074643E">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Hằng năm, vào thời điểm lập dự toán ngân sách nhà nước, căn cứ đối tượng thực tế, kết quả thực hiện chính sách và nhu cầu kinh phí của năm kế hoạch, các cơ quan, đơn vị, cơ sở khám bệnh, chữa bệnh có giường bệnh điều trị nội trú và Ủy ban nhân dân cấp xã có trách nhiệm rà soát đối tượng, xác định nhu cầu kinh phí, xây dựng kế hoạch và lập dự toán kinh phí thực hiện các chính sách quy định từ Điều 4 đến Điều 16 của Nghị quyết này, gửi cơ quan quản lý cấp trên để kiểm tra, tổng hợp theo quy định.</w:t>
      </w:r>
    </w:p>
    <w:p w14:paraId="47255C39">
      <w:pPr>
        <w:pStyle w:val="4"/>
        <w:shd w:val="clear" w:color="auto" w:fill="FCFCFC"/>
        <w:spacing w:before="0" w:line="240" w:lineRule="auto"/>
        <w:ind w:firstLine="720"/>
        <w:rPr>
          <w:rFonts w:ascii="Times New Roman" w:hAnsi="Times New Roman" w:eastAsia="Times New Roman" w:cs="Times New Roman"/>
          <w:b w:val="0"/>
          <w:bCs w:val="0"/>
          <w:color w:val="000000" w:themeColor="text1"/>
          <w:szCs w:val="28"/>
          <w14:textFill>
            <w14:solidFill>
              <w14:schemeClr w14:val="tx1"/>
            </w14:solidFill>
          </w14:textFill>
        </w:rPr>
      </w:pPr>
      <w:r>
        <w:rPr>
          <w:rFonts w:ascii="Times New Roman" w:hAnsi="Times New Roman" w:eastAsia="Times New Roman" w:cs="Times New Roman"/>
          <w:b w:val="0"/>
          <w:bCs w:val="0"/>
          <w:color w:val="000000" w:themeColor="text1"/>
          <w:szCs w:val="28"/>
          <w14:textFill>
            <w14:solidFill>
              <w14:schemeClr w14:val="tx1"/>
            </w14:solidFill>
          </w14:textFill>
        </w:rPr>
        <w:t>Trên cơ sở dự toán của các cơ quan, đơn vị, địa phương, Sở Tài chính chủ trì tổng hợp, tham mưu Ủy ban nhân dân tỉnh trình Hội đồng nhân dân tỉnh xem xét, quyết định dự toán ngân sách nhà nước để thực hiện các chính sách theo quy định.</w:t>
      </w:r>
    </w:p>
    <w:p w14:paraId="263D410F">
      <w:pPr>
        <w:pStyle w:val="4"/>
        <w:shd w:val="clear" w:color="auto" w:fill="FCFCFC"/>
        <w:spacing w:before="0" w:line="240" w:lineRule="auto"/>
        <w:ind w:firstLine="720"/>
        <w:rPr>
          <w:rFonts w:ascii="Times New Roman" w:hAnsi="Times New Roman" w:cs="Times New Roman"/>
          <w:color w:val="000000" w:themeColor="text1"/>
          <w:szCs w:val="28"/>
          <w14:textFill>
            <w14:solidFill>
              <w14:schemeClr w14:val="tx1"/>
            </w14:solidFill>
          </w14:textFill>
        </w:rPr>
      </w:pPr>
      <w:r>
        <w:rPr>
          <w:rFonts w:ascii="Times New Roman" w:hAnsi="Times New Roman" w:eastAsia="Times New Roman" w:cs="Times New Roman"/>
          <w:bCs w:val="0"/>
          <w:color w:val="000000" w:themeColor="text1"/>
          <w:szCs w:val="28"/>
          <w14:textFill>
            <w14:solidFill>
              <w14:schemeClr w14:val="tx1"/>
            </w14:solidFill>
          </w14:textFill>
        </w:rPr>
        <w:t>2. Phân bổ dự toán</w:t>
      </w:r>
      <w:r>
        <w:rPr>
          <w:rFonts w:ascii="Times New Roman" w:hAnsi="Times New Roman" w:cs="Times New Roman"/>
          <w:color w:val="000000" w:themeColor="text1"/>
          <w:szCs w:val="28"/>
          <w14:textFill>
            <w14:solidFill>
              <w14:schemeClr w14:val="tx1"/>
            </w14:solidFill>
          </w14:textFill>
        </w:rPr>
        <w:t xml:space="preserve"> kinh phí</w:t>
      </w:r>
    </w:p>
    <w:p w14:paraId="4F0C466B">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Căn cứ dự toán ngân sách nhà nước được cấp có thẩm quyền quyết định, Ủy ban nhân dân tỉnh giao dự toán cho các cơ quan, đơn vị, địa phương theo phân cấp ngân sách và nhiệm vụ thực hiện chính sách.</w:t>
      </w:r>
    </w:p>
    <w:p w14:paraId="0E8164F1">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Việc phân bổ dự toán phải xác định rõ nội dung chi, đơn vị thực hiện, đối tượng thụ hưởng và nguồn kinh phí bảo đảm thực hiện chính sách, phù hợp với dự toán được giao và quy định của pháp luật về ngân sách nhà nước.</w:t>
      </w:r>
    </w:p>
    <w:p w14:paraId="2261E289">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Căn cứ dự toán được giao, các cơ quan, đơn vị và Ủy ban nhân dân cấp xã có trách nhiệm phân bổ kinh phí cho các đơn vị trực thuộc, bảo đảm việc thực hiện chính sách kịp thời, đúng đối tượng, đúng chế độ, tiêu chuẩn, định mức và quy định của pháp luật; phân công đầu mối thực hiện việc rà soát đối tượng, tiếp nhận và giải quyết hồ sơ, xác định điều kiện hưởng, tổ chức chi trả hoặc cung cấp dịch vụ, theo dõi tình hình sử dụng kinh phí, thanh toán, quyết toán và thực hiện chế độ báo cáo theo quy định.</w:t>
      </w:r>
    </w:p>
    <w:p w14:paraId="13EF6B96">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Việc quản lý, sử dụng kinh phí và công khai thông tin về thực hiện chính sách phải bảo đảm công khai, minh bạch theo quy định của pháp luật; đồng thời, bảo đảm an toàn thông tin và bảo vệ dữ liệu cá nhân của đối tượng thụ hưởng.</w:t>
      </w:r>
    </w:p>
    <w:p w14:paraId="7A4C29CE">
      <w:pPr>
        <w:pStyle w:val="4"/>
        <w:shd w:val="clear" w:color="auto" w:fill="FCFCFC"/>
        <w:spacing w:before="0" w:line="240" w:lineRule="auto"/>
        <w:ind w:firstLine="720"/>
        <w:rPr>
          <w:rFonts w:ascii="Times New Roman" w:hAnsi="Times New Roman" w:cs="Times New Roman"/>
          <w:color w:val="000000" w:themeColor="text1"/>
          <w:szCs w:val="28"/>
          <w14:textFill>
            <w14:solidFill>
              <w14:schemeClr w14:val="tx1"/>
            </w14:solidFill>
          </w14:textFill>
        </w:rPr>
      </w:pPr>
      <w:r>
        <w:rPr>
          <w:rFonts w:ascii="Times New Roman" w:hAnsi="Times New Roman" w:cs="Times New Roman"/>
          <w:color w:val="000000" w:themeColor="text1"/>
          <w:szCs w:val="28"/>
          <w14:textFill>
            <w14:solidFill>
              <w14:schemeClr w14:val="tx1"/>
            </w14:solidFill>
          </w14:textFill>
        </w:rPr>
        <w:t>3. Bổ sung kinh phí và xử lý kinh phí cuối năm</w:t>
      </w:r>
    </w:p>
    <w:p w14:paraId="052746B8">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Trường hợp kinh phí được bố trí không đáp ứng đủ nhu cầu thực hiện chính sách, các cơ quan, đơn vị, địa phương có trách nhiệm rà soát, xác định nhu cầu kinh phí còn thiếu, báo cáo cơ quan quản lý cấp trên để kiểm tra, tổng hợp, gửi Sở Tài chính xem xét, tham mưu Ủy ban nhân dân tỉnh xử lý, bổ sung kinh phí theo thẩm quyền và quy định của pháp luật.</w:t>
      </w:r>
    </w:p>
    <w:p w14:paraId="1F55C0C1">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Việc rà soát, đề xuất bổ sung kinh phí phải được thực hiện kịp thời, bảo đảm không làm gián đoạn việc thực hiện chính sách và ảnh hưởng đến quyền, lợi ích hợp pháp của đối tượng thụ hưởng.</w:t>
      </w:r>
    </w:p>
    <w:p w14:paraId="6F016EC0">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Kinh phí thực hiện chính sách còn dư khi kết thúc năm ngân sách được xử lý theo quy định của pháp luật về ngân sách nhà nước và các văn bản hướng dẫn thi hành.</w:t>
      </w:r>
    </w:p>
    <w:p w14:paraId="2C37756B">
      <w:pPr>
        <w:pStyle w:val="4"/>
        <w:shd w:val="clear" w:color="auto" w:fill="FCFCFC"/>
        <w:spacing w:before="0" w:line="240" w:lineRule="auto"/>
        <w:ind w:firstLine="720"/>
        <w:rPr>
          <w:rFonts w:ascii="Times New Roman" w:hAnsi="Times New Roman" w:cs="Times New Roman"/>
          <w:color w:val="000000" w:themeColor="text1"/>
          <w:szCs w:val="28"/>
          <w14:textFill>
            <w14:solidFill>
              <w14:schemeClr w14:val="tx1"/>
            </w14:solidFill>
          </w14:textFill>
        </w:rPr>
      </w:pPr>
      <w:r>
        <w:rPr>
          <w:rFonts w:ascii="Times New Roman" w:hAnsi="Times New Roman" w:cs="Times New Roman"/>
          <w:color w:val="000000" w:themeColor="text1"/>
          <w:szCs w:val="28"/>
          <w14:textFill>
            <w14:solidFill>
              <w14:schemeClr w14:val="tx1"/>
            </w14:solidFill>
          </w14:textFill>
        </w:rPr>
        <w:t>4. Thanh toán, quyết toán kinh phí</w:t>
      </w:r>
    </w:p>
    <w:p w14:paraId="5C8469EA">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a) Việc thanh toán kinh phí thực hiện chính sách căn cứ vào dự toán được cấp có thẩm quyền giao, quyết định phê duyệt đối tượng hưởng chính sách (nếu có), danh sách đối tượng thực tế được hưởng, mức hỗ trợ, thời gian hưởng và hồ sơ, chứng từ hợp pháp, hợp lệ theo quy định của pháp luật.</w:t>
      </w:r>
    </w:p>
    <w:p w14:paraId="5BF7C327">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b) Cơ quan, đơn vị, địa phương và các đơn vị liên quan được giao kinh phí có trách nhiệm quản lý, sử dụng kinh phí đúng mục đích, đúng đối tượng, đúng chế độ, tiêu chuẩn, định mức và trong phạm vi dự toán được giao; thực hiện hạch toán, theo dõi kinh phí theo từng chính sách và nội dung chi theo quy định; chịu trách nhiệm về tính chính xác, đầy đủ, hợp pháp của hồ sơ, chứng từ thanh toán, quyết toán.</w:t>
      </w:r>
    </w:p>
    <w:p w14:paraId="743C3018">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c) Việc thanh toán, quyết toán kinh phí phải bảo đảm đúng đối tượng, đúng mức hỗ trợ, đúng thời gian hưởng và khối lượng thực tế phát sinh; không thanh toán trùng lặp đối với cùng một đối tượng, cùng nội dung, thời gian hoặc khoản chi đã được ngân sách nhà nước hay nguồn kinh phí hợp pháp khác bảo đảm.</w:t>
      </w:r>
    </w:p>
    <w:p w14:paraId="09131AF7">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d) Cơ quan, đơn vị, địa phương và các đơn vị liên quan được giao kinh phí có trách nhiệm lập, gửi báo cáo quyết toán cho cơ quan có thẩm quyền xét duyệt, thẩm định theo quy định; bảo đảm số liệu quyết toán phản ánh đầy đủ số kinh phí được giao, số kinh phí đã sử dụng, số kinh phí còn dư hoặc còn thiếu, số đối tượng được hỗ trợ và kết quả thực hiện từng chính sách. Thời hạn lập, gửi, xét duyệt, thẩm định và tổng hợp quyết toán thực hiện theo quy định của pháp luật về ngân sách nhà nước và các quy định pháp luật có liên quan.</w:t>
      </w:r>
    </w:p>
    <w:p w14:paraId="421D9D11">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đ) Kinh phí sử dụng không hết, kinh phí chi sai chế độ, sai đối tượng, chi trùng lặp hoặc các khoản kinh phí phải thu hồi được xử lý theo quy định của pháp luật. Trường hợp phát hiện sai sót trong thanh toán, quyết toán, cơ quan, đơn vị, địa phương và cơ sở có liên quan có trách nhiệm xác minh, điều chỉnh số liệu, thu hồi khoản chi không đúng quy định và báo cáo cơ quan có thẩm quyền theo quy định.</w:t>
      </w:r>
    </w:p>
    <w:p w14:paraId="4227A7B7">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e) Hồ sơ, chứng từ thanh toán, quyết toán kinh phí phải được lập, quản lý và lưu trữ đầy đủ tại cơ quan, đơn vị theo trách nhiệm được giao; việc khai thác, cung cấp thông tin và lưu trữ hồ sơ phải tuân thủ quy định của pháp luật về kế toán, lưu trữ, dữ liệu và bảo vệ thông tin cá nhân.</w:t>
      </w:r>
    </w:p>
    <w:p w14:paraId="53752361">
      <w:pPr>
        <w:pStyle w:val="4"/>
        <w:shd w:val="clear" w:color="auto" w:fill="FCFCFC"/>
        <w:spacing w:before="0" w:line="240" w:lineRule="auto"/>
        <w:ind w:firstLine="720"/>
        <w:rPr>
          <w:rFonts w:ascii="Times New Roman" w:hAnsi="Times New Roman" w:cs="Times New Roman"/>
          <w:color w:val="000000" w:themeColor="text1"/>
          <w:szCs w:val="28"/>
          <w14:textFill>
            <w14:solidFill>
              <w14:schemeClr w14:val="tx1"/>
            </w14:solidFill>
          </w14:textFill>
        </w:rPr>
      </w:pPr>
      <w:r>
        <w:rPr>
          <w:rFonts w:ascii="Times New Roman" w:hAnsi="Times New Roman" w:cs="Times New Roman"/>
          <w:color w:val="000000" w:themeColor="text1"/>
          <w:szCs w:val="28"/>
          <w14:textFill>
            <w14:solidFill>
              <w14:schemeClr w14:val="tx1"/>
            </w14:solidFill>
          </w14:textFill>
        </w:rPr>
        <w:t>5. Tiếp nhận, giải quyết hồ sơ và thực hiện chính sách</w:t>
      </w:r>
    </w:p>
    <w:p w14:paraId="03B4D7D3">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Hồ sơ đề nghị hưởng chính sách được tiếp nhận, xem xét và giải quyết theo trình tự, thủ tục, thành phần hồ sơ và thẩm quyền quy định đối với từng chính sách tại Phụ lục II ban hành kèm theo Nghị quyết này và các quy định pháp luật có liên quan.</w:t>
      </w:r>
    </w:p>
    <w:p w14:paraId="2AE37F0A">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Việc đăng ký kế hoạch, tổng hợp nhu cầu và lập dự toán kinh phí là trách nhiệm của cơ quan, đơn vị, địa phương có liên quan, không thay thế việc xác định đối tượng, điều kiện hưởng và quyết định hưởng chính sách theo quy định.</w:t>
      </w:r>
    </w:p>
    <w:p w14:paraId="1B82A300">
      <w:pPr>
        <w:pStyle w:val="169"/>
        <w:shd w:val="clear" w:color="auto" w:fill="FCFCFC"/>
        <w:spacing w:before="0" w:beforeAutospacing="0" w:after="0" w:afterAutospacing="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Trường hợp phát sinh tình huống cần trợ giúp, cấp cứu hoặc bảo vệ khẩn cấp, cơ quan, tổ chức, cá nhân có thẩm quyền phải kịp thời thực hiện các biện pháp cần thiết theo quy định của pháp luật, không để việc lập dự toán, bố trí kinh phí hoặc hoàn thiện hồ sơ hành chính làm chậm việc trợ giúp, cấp cứu hoặc bảo vệ đối tượng.</w:t>
      </w:r>
    </w:p>
    <w:p w14:paraId="0333A18F">
      <w:pPr>
        <w:spacing w:before="120" w:line="240" w:lineRule="auto"/>
        <w:ind w:firstLine="720"/>
        <w:rPr>
          <w:rFonts w:cs="Times New Roman"/>
          <w:b/>
          <w:color w:val="000000" w:themeColor="text1"/>
          <w:szCs w:val="28"/>
          <w:lang w:val="vi-VN"/>
          <w14:textFill>
            <w14:solidFill>
              <w14:schemeClr w14:val="tx1"/>
            </w14:solidFill>
          </w14:textFill>
        </w:rPr>
      </w:pPr>
    </w:p>
    <w:p w14:paraId="14205F51">
      <w:pPr>
        <w:spacing w:before="120" w:line="240" w:lineRule="auto"/>
        <w:ind w:firstLine="720"/>
        <w:rPr>
          <w:rFonts w:cs="Times New Roman"/>
          <w:b/>
          <w:color w:val="000000" w:themeColor="text1"/>
          <w:szCs w:val="28"/>
          <w:lang w:val="vi-VN"/>
          <w14:textFill>
            <w14:solidFill>
              <w14:schemeClr w14:val="tx1"/>
            </w14:solidFill>
          </w14:textFill>
        </w:rPr>
      </w:pPr>
    </w:p>
    <w:p w14:paraId="14DA7EF7">
      <w:pPr>
        <w:spacing w:before="120" w:line="240" w:lineRule="auto"/>
        <w:ind w:firstLine="720"/>
        <w:rPr>
          <w:rFonts w:cs="Times New Roman"/>
          <w:b/>
          <w:color w:val="000000" w:themeColor="text1"/>
          <w:szCs w:val="28"/>
          <w:lang w:val="vi-VN"/>
          <w14:textFill>
            <w14:solidFill>
              <w14:schemeClr w14:val="tx1"/>
            </w14:solidFill>
          </w14:textFill>
        </w:rPr>
      </w:pPr>
    </w:p>
    <w:p w14:paraId="70DF87AA">
      <w:pPr>
        <w:spacing w:before="120" w:line="240" w:lineRule="auto"/>
        <w:ind w:firstLine="720"/>
        <w:rPr>
          <w:rFonts w:cs="Times New Roman"/>
          <w:b/>
          <w:color w:val="000000" w:themeColor="text1"/>
          <w:szCs w:val="28"/>
          <w:lang w:val="vi-VN"/>
          <w14:textFill>
            <w14:solidFill>
              <w14:schemeClr w14:val="tx1"/>
            </w14:solidFill>
          </w14:textFill>
        </w:rPr>
      </w:pPr>
    </w:p>
    <w:p w14:paraId="79A3C249">
      <w:pPr>
        <w:spacing w:before="120" w:line="240" w:lineRule="auto"/>
        <w:ind w:firstLine="720"/>
        <w:rPr>
          <w:rFonts w:cs="Times New Roman"/>
          <w:b/>
          <w:color w:val="000000" w:themeColor="text1"/>
          <w:szCs w:val="28"/>
          <w:lang w:val="vi-VN"/>
          <w14:textFill>
            <w14:solidFill>
              <w14:schemeClr w14:val="tx1"/>
            </w14:solidFill>
          </w14:textFill>
        </w:rPr>
      </w:pPr>
    </w:p>
    <w:p w14:paraId="03C2DC14">
      <w:pPr>
        <w:spacing w:before="120" w:line="240" w:lineRule="auto"/>
        <w:ind w:firstLine="720"/>
        <w:rPr>
          <w:rFonts w:cs="Times New Roman"/>
          <w:b/>
          <w:color w:val="000000" w:themeColor="text1"/>
          <w:szCs w:val="28"/>
          <w:lang w:val="vi-VN"/>
          <w14:textFill>
            <w14:solidFill>
              <w14:schemeClr w14:val="tx1"/>
            </w14:solidFill>
          </w14:textFill>
        </w:rPr>
      </w:pPr>
    </w:p>
    <w:p w14:paraId="04C603CB">
      <w:pPr>
        <w:spacing w:before="120" w:line="240" w:lineRule="auto"/>
        <w:ind w:firstLine="720"/>
        <w:rPr>
          <w:rFonts w:cs="Times New Roman"/>
          <w:b/>
          <w:color w:val="000000" w:themeColor="text1"/>
          <w:szCs w:val="28"/>
          <w:lang w:val="vi-VN"/>
          <w14:textFill>
            <w14:solidFill>
              <w14:schemeClr w14:val="tx1"/>
            </w14:solidFill>
          </w14:textFill>
        </w:rPr>
      </w:pPr>
    </w:p>
    <w:p w14:paraId="56813954">
      <w:pPr>
        <w:spacing w:before="120" w:line="240" w:lineRule="auto"/>
        <w:ind w:firstLine="720"/>
        <w:rPr>
          <w:rFonts w:cs="Times New Roman"/>
          <w:b/>
          <w:color w:val="000000" w:themeColor="text1"/>
          <w:szCs w:val="28"/>
          <w:lang w:val="vi-VN"/>
          <w14:textFill>
            <w14:solidFill>
              <w14:schemeClr w14:val="tx1"/>
            </w14:solidFill>
          </w14:textFill>
        </w:rPr>
      </w:pPr>
    </w:p>
    <w:p w14:paraId="722C41BB">
      <w:pPr>
        <w:spacing w:before="120" w:line="240" w:lineRule="auto"/>
        <w:ind w:firstLine="720"/>
        <w:rPr>
          <w:rFonts w:cs="Times New Roman"/>
          <w:b/>
          <w:color w:val="000000" w:themeColor="text1"/>
          <w:szCs w:val="28"/>
          <w:lang w:val="vi-VN"/>
          <w14:textFill>
            <w14:solidFill>
              <w14:schemeClr w14:val="tx1"/>
            </w14:solidFill>
          </w14:textFill>
        </w:rPr>
      </w:pPr>
    </w:p>
    <w:p w14:paraId="2A8458DC">
      <w:pPr>
        <w:spacing w:before="120" w:line="240" w:lineRule="auto"/>
        <w:ind w:firstLine="720"/>
        <w:rPr>
          <w:rFonts w:cs="Times New Roman"/>
          <w:b/>
          <w:color w:val="000000" w:themeColor="text1"/>
          <w:szCs w:val="28"/>
          <w:lang w:val="vi-VN"/>
          <w14:textFill>
            <w14:solidFill>
              <w14:schemeClr w14:val="tx1"/>
            </w14:solidFill>
          </w14:textFill>
        </w:rPr>
      </w:pPr>
    </w:p>
    <w:p w14:paraId="05826840">
      <w:pPr>
        <w:spacing w:before="120" w:line="240" w:lineRule="auto"/>
        <w:ind w:firstLine="720"/>
        <w:rPr>
          <w:rFonts w:cs="Times New Roman"/>
          <w:b/>
          <w:color w:val="000000" w:themeColor="text1"/>
          <w:szCs w:val="28"/>
          <w:lang w:val="vi-VN"/>
          <w14:textFill>
            <w14:solidFill>
              <w14:schemeClr w14:val="tx1"/>
            </w14:solidFill>
          </w14:textFill>
        </w:rPr>
      </w:pPr>
    </w:p>
    <w:p w14:paraId="0B575A73">
      <w:pPr>
        <w:spacing w:before="120" w:line="240" w:lineRule="auto"/>
        <w:ind w:firstLine="720"/>
        <w:rPr>
          <w:rFonts w:cs="Times New Roman"/>
          <w:b/>
          <w:color w:val="000000" w:themeColor="text1"/>
          <w:szCs w:val="28"/>
          <w:lang w:val="vi-VN"/>
          <w14:textFill>
            <w14:solidFill>
              <w14:schemeClr w14:val="tx1"/>
            </w14:solidFill>
          </w14:textFill>
        </w:rPr>
      </w:pPr>
    </w:p>
    <w:p w14:paraId="72892AF7">
      <w:pPr>
        <w:spacing w:before="120" w:line="240" w:lineRule="auto"/>
        <w:ind w:firstLine="720"/>
        <w:rPr>
          <w:rFonts w:cs="Times New Roman"/>
          <w:b/>
          <w:color w:val="000000" w:themeColor="text1"/>
          <w:szCs w:val="28"/>
          <w:lang w:val="vi-VN"/>
          <w14:textFill>
            <w14:solidFill>
              <w14:schemeClr w14:val="tx1"/>
            </w14:solidFill>
          </w14:textFill>
        </w:rPr>
      </w:pPr>
    </w:p>
    <w:p w14:paraId="0E975C3B">
      <w:pPr>
        <w:spacing w:before="120" w:line="240" w:lineRule="auto"/>
        <w:ind w:firstLine="720"/>
        <w:rPr>
          <w:rFonts w:cs="Times New Roman"/>
          <w:b/>
          <w:color w:val="000000" w:themeColor="text1"/>
          <w:szCs w:val="28"/>
          <w:lang w:val="vi-VN"/>
          <w14:textFill>
            <w14:solidFill>
              <w14:schemeClr w14:val="tx1"/>
            </w14:solidFill>
          </w14:textFill>
        </w:rPr>
      </w:pPr>
    </w:p>
    <w:p w14:paraId="35F8C58C">
      <w:pPr>
        <w:spacing w:before="120" w:line="240" w:lineRule="auto"/>
        <w:ind w:firstLine="720"/>
        <w:rPr>
          <w:rFonts w:cs="Times New Roman"/>
          <w:b/>
          <w:color w:val="000000" w:themeColor="text1"/>
          <w:szCs w:val="28"/>
          <w:lang w:val="vi-VN"/>
          <w14:textFill>
            <w14:solidFill>
              <w14:schemeClr w14:val="tx1"/>
            </w14:solidFill>
          </w14:textFill>
        </w:rPr>
      </w:pPr>
    </w:p>
    <w:p w14:paraId="52DAE98C">
      <w:pPr>
        <w:spacing w:before="120" w:line="240" w:lineRule="auto"/>
        <w:ind w:firstLine="720"/>
        <w:rPr>
          <w:rFonts w:cs="Times New Roman"/>
          <w:b/>
          <w:color w:val="000000" w:themeColor="text1"/>
          <w:szCs w:val="28"/>
          <w:lang w:val="vi-VN"/>
          <w14:textFill>
            <w14:solidFill>
              <w14:schemeClr w14:val="tx1"/>
            </w14:solidFill>
          </w14:textFill>
        </w:rPr>
      </w:pPr>
    </w:p>
    <w:p w14:paraId="476817CF">
      <w:pPr>
        <w:spacing w:before="120" w:line="240" w:lineRule="auto"/>
        <w:ind w:firstLine="720"/>
        <w:rPr>
          <w:rFonts w:cs="Times New Roman"/>
          <w:b/>
          <w:color w:val="000000" w:themeColor="text1"/>
          <w:szCs w:val="28"/>
          <w:lang w:val="vi-VN"/>
          <w14:textFill>
            <w14:solidFill>
              <w14:schemeClr w14:val="tx1"/>
            </w14:solidFill>
          </w14:textFill>
        </w:rPr>
      </w:pPr>
    </w:p>
    <w:p w14:paraId="58654763">
      <w:pPr>
        <w:spacing w:before="120" w:line="240" w:lineRule="auto"/>
        <w:ind w:firstLine="720"/>
        <w:rPr>
          <w:rFonts w:cs="Times New Roman"/>
          <w:b/>
          <w:color w:val="000000" w:themeColor="text1"/>
          <w:szCs w:val="28"/>
          <w:lang w:val="vi-VN"/>
          <w14:textFill>
            <w14:solidFill>
              <w14:schemeClr w14:val="tx1"/>
            </w14:solidFill>
          </w14:textFill>
        </w:rPr>
      </w:pPr>
    </w:p>
    <w:p w14:paraId="1CC64A7F">
      <w:pPr>
        <w:spacing w:before="120" w:line="240" w:lineRule="auto"/>
        <w:ind w:firstLine="720"/>
        <w:rPr>
          <w:rFonts w:cs="Times New Roman"/>
          <w:b/>
          <w:color w:val="000000" w:themeColor="text1"/>
          <w:szCs w:val="28"/>
          <w:lang w:val="vi-VN"/>
          <w14:textFill>
            <w14:solidFill>
              <w14:schemeClr w14:val="tx1"/>
            </w14:solidFill>
          </w14:textFill>
        </w:rPr>
      </w:pPr>
    </w:p>
    <w:p w14:paraId="7BC60E59">
      <w:pPr>
        <w:spacing w:before="120" w:line="240" w:lineRule="auto"/>
        <w:ind w:firstLine="720"/>
        <w:rPr>
          <w:rFonts w:cs="Times New Roman"/>
          <w:b/>
          <w:color w:val="000000" w:themeColor="text1"/>
          <w:szCs w:val="28"/>
          <w:lang w:val="vi-VN"/>
          <w14:textFill>
            <w14:solidFill>
              <w14:schemeClr w14:val="tx1"/>
            </w14:solidFill>
          </w14:textFill>
        </w:rPr>
      </w:pPr>
    </w:p>
    <w:p w14:paraId="164F79D2">
      <w:pPr>
        <w:spacing w:before="120" w:line="240" w:lineRule="auto"/>
        <w:ind w:firstLine="720"/>
        <w:rPr>
          <w:rFonts w:cs="Times New Roman"/>
          <w:b/>
          <w:color w:val="000000" w:themeColor="text1"/>
          <w:szCs w:val="28"/>
          <w:lang w:val="vi-VN"/>
          <w14:textFill>
            <w14:solidFill>
              <w14:schemeClr w14:val="tx1"/>
            </w14:solidFill>
          </w14:textFill>
        </w:rPr>
      </w:pPr>
    </w:p>
    <w:p w14:paraId="634D44E4">
      <w:pPr>
        <w:spacing w:before="120" w:line="240" w:lineRule="auto"/>
        <w:ind w:firstLine="720"/>
        <w:rPr>
          <w:rFonts w:cs="Times New Roman"/>
          <w:b/>
          <w:color w:val="000000" w:themeColor="text1"/>
          <w:szCs w:val="28"/>
          <w:lang w:val="vi-VN"/>
          <w14:textFill>
            <w14:solidFill>
              <w14:schemeClr w14:val="tx1"/>
            </w14:solidFill>
          </w14:textFill>
        </w:rPr>
      </w:pPr>
    </w:p>
    <w:p w14:paraId="67239BF3">
      <w:pPr>
        <w:spacing w:before="120" w:line="240" w:lineRule="auto"/>
        <w:ind w:firstLine="720"/>
        <w:rPr>
          <w:rFonts w:cs="Times New Roman"/>
          <w:b/>
          <w:color w:val="000000" w:themeColor="text1"/>
          <w:szCs w:val="28"/>
          <w:lang w:val="vi-VN"/>
          <w14:textFill>
            <w14:solidFill>
              <w14:schemeClr w14:val="tx1"/>
            </w14:solidFill>
          </w14:textFill>
        </w:rPr>
      </w:pPr>
    </w:p>
    <w:p w14:paraId="5FF9FA96">
      <w:pPr>
        <w:spacing w:before="120" w:line="240" w:lineRule="auto"/>
        <w:ind w:firstLine="720"/>
        <w:rPr>
          <w:rFonts w:cs="Times New Roman"/>
          <w:b/>
          <w:color w:val="000000" w:themeColor="text1"/>
          <w:szCs w:val="28"/>
          <w:lang w:val="vi-VN"/>
          <w14:textFill>
            <w14:solidFill>
              <w14:schemeClr w14:val="tx1"/>
            </w14:solidFill>
          </w14:textFill>
        </w:rPr>
      </w:pPr>
    </w:p>
    <w:p w14:paraId="458D69C3">
      <w:pPr>
        <w:spacing w:before="120" w:line="240" w:lineRule="auto"/>
        <w:ind w:firstLine="720"/>
        <w:rPr>
          <w:rFonts w:cs="Times New Roman"/>
          <w:b/>
          <w:color w:val="000000" w:themeColor="text1"/>
          <w:szCs w:val="28"/>
          <w:lang w:val="vi-VN"/>
          <w14:textFill>
            <w14:solidFill>
              <w14:schemeClr w14:val="tx1"/>
            </w14:solidFill>
          </w14:textFill>
        </w:rPr>
      </w:pPr>
    </w:p>
    <w:p w14:paraId="6A1950C9">
      <w:pPr>
        <w:spacing w:before="120" w:line="240" w:lineRule="auto"/>
        <w:ind w:firstLine="720"/>
        <w:rPr>
          <w:rFonts w:cs="Times New Roman"/>
          <w:b/>
          <w:color w:val="000000" w:themeColor="text1"/>
          <w:szCs w:val="28"/>
          <w:lang w:val="vi-VN"/>
          <w14:textFill>
            <w14:solidFill>
              <w14:schemeClr w14:val="tx1"/>
            </w14:solidFill>
          </w14:textFill>
        </w:rPr>
      </w:pPr>
    </w:p>
    <w:p w14:paraId="2D1CA82E">
      <w:pPr>
        <w:spacing w:before="120" w:line="240" w:lineRule="auto"/>
        <w:ind w:firstLine="720"/>
        <w:rPr>
          <w:rFonts w:cs="Times New Roman"/>
          <w:b/>
          <w:color w:val="000000" w:themeColor="text1"/>
          <w:szCs w:val="28"/>
          <w:lang w:val="vi-VN"/>
          <w14:textFill>
            <w14:solidFill>
              <w14:schemeClr w14:val="tx1"/>
            </w14:solidFill>
          </w14:textFill>
        </w:rPr>
      </w:pPr>
    </w:p>
    <w:p w14:paraId="321F0CCE">
      <w:pPr>
        <w:pageBreakBefore/>
        <w:shd w:val="clear" w:color="auto" w:fill="FCFCFC"/>
        <w:spacing w:line="240" w:lineRule="auto"/>
        <w:jc w:val="center"/>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Phụ lục II</w:t>
      </w:r>
    </w:p>
    <w:p w14:paraId="585BE4DE">
      <w:pPr>
        <w:jc w:val="center"/>
        <w:rPr>
          <w:rFonts w:cs="Times New Roman"/>
          <w:i/>
          <w:color w:val="000000" w:themeColor="text1"/>
          <w:szCs w:val="28"/>
          <w:lang w:val="vi-VN"/>
          <w14:textFill>
            <w14:solidFill>
              <w14:schemeClr w14:val="tx1"/>
            </w14:solidFill>
          </w14:textFill>
        </w:rPr>
      </w:pPr>
      <w:r>
        <w:rPr>
          <w:rStyle w:val="170"/>
          <w:rFonts w:cs="Times New Roman"/>
          <w:b/>
          <w:bCs/>
          <w:color w:val="000000" w:themeColor="text1"/>
          <w:szCs w:val="28"/>
          <w:shd w:val="clear" w:color="auto" w:fill="FCFCFC"/>
          <w:lang w:val="vi-VN"/>
          <w14:textFill>
            <w14:solidFill>
              <w14:schemeClr w14:val="tx1"/>
            </w14:solidFill>
          </w14:textFill>
        </w:rPr>
        <w:t>QUY TRÌNH THỰC HIỆN VÀ HỒ SƠ HỖ TRỢ</w:t>
      </w:r>
    </w:p>
    <w:p w14:paraId="289582A2">
      <w:pPr>
        <w:jc w:val="center"/>
        <w:rPr>
          <w:rFonts w:cs="Times New Roman"/>
          <w:color w:val="000000" w:themeColor="text1"/>
          <w:szCs w:val="28"/>
          <w:lang w:val="vi-VN"/>
          <w14:textFill>
            <w14:solidFill>
              <w14:schemeClr w14:val="tx1"/>
            </w14:solidFill>
          </w14:textFill>
        </w:rPr>
      </w:pPr>
      <w:r>
        <w:rPr>
          <w:rFonts w:cs="Times New Roman"/>
          <w:i/>
          <w:color w:val="000000" w:themeColor="text1"/>
          <w:szCs w:val="28"/>
          <w:lang w:val="vi-VN"/>
          <w14:textFill>
            <w14:solidFill>
              <w14:schemeClr w14:val="tx1"/>
            </w14:solidFill>
          </w14:textFill>
        </w:rPr>
        <w:t>(Kèm theo Nghị quyết số      /2026/NQ-HĐND ngày      tháng      năm 2026 của Hội đồng nhân dân tỉnh Hà Tĩnh)</w:t>
      </w:r>
    </w:p>
    <w:p w14:paraId="49FCC8C6">
      <w:pPr>
        <w:pStyle w:val="4"/>
        <w:shd w:val="clear" w:color="auto" w:fill="FCFCFC"/>
        <w:spacing w:before="0" w:line="240" w:lineRule="auto"/>
        <w:ind w:firstLine="720"/>
        <w:rPr>
          <w:rFonts w:ascii="Times New Roman" w:hAnsi="Times New Roman" w:cs="Times New Roman"/>
          <w:color w:val="000000" w:themeColor="text1"/>
          <w:szCs w:val="28"/>
          <w:lang w:val="vi-VN"/>
          <w14:textFill>
            <w14:solidFill>
              <w14:schemeClr w14:val="tx1"/>
            </w14:solidFill>
          </w14:textFill>
        </w:rPr>
      </w:pPr>
      <w:r>
        <w:rPr>
          <w:rFonts w:ascii="Times New Roman" w:hAnsi="Times New Roman" w:cs="Times New Roman"/>
          <w:color w:val="000000" w:themeColor="text1"/>
          <w:szCs w:val="28"/>
          <w:lang w:val="vi-VN"/>
          <w14:textFill>
            <w14:solidFill>
              <w14:schemeClr w14:val="tx1"/>
            </w14:solidFill>
          </w14:textFill>
        </w:rPr>
        <w:t>1. Yêu cầu chung</w:t>
      </w:r>
    </w:p>
    <w:p w14:paraId="4E41AD01">
      <w:pPr>
        <w:pStyle w:val="169"/>
        <w:shd w:val="clear" w:color="auto" w:fill="FCFCFC"/>
        <w:spacing w:before="0" w:beforeAutospacing="0" w:after="0" w:afterAutospacing="0"/>
        <w:ind w:firstLine="720"/>
        <w:jc w:val="both"/>
        <w:rPr>
          <w:color w:val="000000" w:themeColor="text1"/>
          <w:sz w:val="28"/>
          <w:szCs w:val="28"/>
          <w:lang w:val="vi-VN"/>
          <w14:textFill>
            <w14:solidFill>
              <w14:schemeClr w14:val="tx1"/>
            </w14:solidFill>
          </w14:textFill>
        </w:rPr>
      </w:pPr>
      <w:r>
        <w:rPr>
          <w:color w:val="000000" w:themeColor="text1"/>
          <w:sz w:val="28"/>
          <w:szCs w:val="28"/>
          <w:lang w:val="vi-VN"/>
          <w14:textFill>
            <w14:solidFill>
              <w14:schemeClr w14:val="tx1"/>
            </w14:solidFill>
          </w14:textFill>
        </w:rPr>
        <w:t>a) Hồ sơ đề nghị hưởng chính sách được lập thành 01 bộ và nộp trực tiếp, qua dịch vụ bưu chính hoặc trực tuyến đối với thủ tục đã được cung cấp trên hệ thống dịch vụ công theo quy định. Việc tiếp nhận, giải quyết và trả kết quả thực hiện theo cơ chế một cửa đối với thủ tục thuộc phạm vi áp dụng.</w:t>
      </w:r>
    </w:p>
    <w:p w14:paraId="528E4CB3">
      <w:pPr>
        <w:pStyle w:val="169"/>
        <w:shd w:val="clear" w:color="auto" w:fill="FCFCFC"/>
        <w:spacing w:before="0" w:beforeAutospacing="0" w:after="0" w:afterAutospacing="0"/>
        <w:ind w:firstLine="720"/>
        <w:jc w:val="both"/>
        <w:rPr>
          <w:color w:val="000000" w:themeColor="text1"/>
          <w:sz w:val="28"/>
          <w:szCs w:val="28"/>
          <w:lang w:val="vi-VN"/>
          <w14:textFill>
            <w14:solidFill>
              <w14:schemeClr w14:val="tx1"/>
            </w14:solidFill>
          </w14:textFill>
        </w:rPr>
      </w:pPr>
      <w:r>
        <w:rPr>
          <w:color w:val="000000" w:themeColor="text1"/>
          <w:sz w:val="28"/>
          <w:szCs w:val="28"/>
          <w:lang w:val="vi-VN"/>
          <w14:textFill>
            <w14:solidFill>
              <w14:schemeClr w14:val="tx1"/>
            </w14:solidFill>
          </w14:textFill>
        </w:rPr>
        <w:t>b) Cơ quan tiếp nhận hồ sơ có trách nhiệm khai thác thông tin từ cơ sở dữ liệu quốc gia, cơ sở dữ liệu chuyên ngành, hệ thống định danh và xác thực điện tử, hồ sơ quản lý và hồ sơ bệnh án điện tử theo quy định. Không yêu cầu người dân nộp hoặc xuất trình lại giấy tờ, thông tin đã được khai thác, xác thực hợp lệ. Trường hợp chưa khai thác được thông tin, cơ quan tiếp nhận hướng dẫn sử dụng bản sao, bản điện tử hoặc xuất trình bản chính để đối chiếu theo quy định; không yêu cầu xác nhận lại thông tin đã có giá trị pháp lý.</w:t>
      </w:r>
    </w:p>
    <w:p w14:paraId="30C467BF">
      <w:pPr>
        <w:pStyle w:val="169"/>
        <w:shd w:val="clear" w:color="auto" w:fill="FCFCFC"/>
        <w:spacing w:before="0" w:beforeAutospacing="0" w:after="0" w:afterAutospacing="0"/>
        <w:ind w:firstLine="720"/>
        <w:jc w:val="both"/>
        <w:rPr>
          <w:color w:val="000000" w:themeColor="text1"/>
          <w:sz w:val="28"/>
          <w:szCs w:val="28"/>
          <w:lang w:val="vi-VN"/>
          <w14:textFill>
            <w14:solidFill>
              <w14:schemeClr w14:val="tx1"/>
            </w14:solidFill>
          </w14:textFill>
        </w:rPr>
      </w:pPr>
      <w:r>
        <w:rPr>
          <w:color w:val="000000" w:themeColor="text1"/>
          <w:sz w:val="28"/>
          <w:szCs w:val="28"/>
          <w:lang w:val="vi-VN"/>
          <w14:textFill>
            <w14:solidFill>
              <w14:schemeClr w14:val="tx1"/>
            </w14:solidFill>
          </w14:textFill>
        </w:rPr>
        <w:t>c) Người không thể tự thực hiện thủ tục được người đại diện hợp pháp, người giám hộ hoặc người được ủy quyền thực hiện theo quy định của pháp luật. Đối với trẻ em và người không thể tự thể hiện ý chí, việc đại diện, giám hộ và lấy ý kiến phải bảo đảm quyền, lợi ích hợp pháp của đối tượng và lợi ích tốt nhất của trẻ em.</w:t>
      </w:r>
    </w:p>
    <w:p w14:paraId="154C58A2">
      <w:pPr>
        <w:pStyle w:val="169"/>
        <w:shd w:val="clear" w:color="auto" w:fill="FCFCFC"/>
        <w:spacing w:before="0" w:beforeAutospacing="0" w:after="0" w:afterAutospacing="0"/>
        <w:ind w:firstLine="720"/>
        <w:jc w:val="both"/>
        <w:rPr>
          <w:color w:val="000000" w:themeColor="text1"/>
          <w:sz w:val="28"/>
          <w:szCs w:val="28"/>
          <w:lang w:val="vi-VN"/>
          <w14:textFill>
            <w14:solidFill>
              <w14:schemeClr w14:val="tx1"/>
            </w14:solidFill>
          </w14:textFill>
        </w:rPr>
      </w:pPr>
      <w:r>
        <w:rPr>
          <w:color w:val="000000" w:themeColor="text1"/>
          <w:sz w:val="28"/>
          <w:szCs w:val="28"/>
          <w:lang w:val="vi-VN"/>
          <w14:textFill>
            <w14:solidFill>
              <w14:schemeClr w14:val="tx1"/>
            </w14:solidFill>
          </w14:textFill>
        </w:rPr>
        <w:t>d) Trường hợp hồ sơ chưa đầy đủ, cơ quan tiếp nhận có trách nhiệm hướng dẫn một lần bằng văn bản hoặc hình thức phù hợp, nêu rõ các nội dung cần bổ sung. Trường hợp từ chối giải quyết, cơ quan có thẩm quyền phải trả lời bằng văn bản, nêu rõ lý do. Việc xác minh thông tin thuộc trách nhiệm của cơ quan nhà nước không được chuyển thành yêu cầu người dân tự thực hiện thủ tục xin xác nhận ngoài thành phần hồ sơ theo quy định.</w:t>
      </w:r>
    </w:p>
    <w:p w14:paraId="24AED885">
      <w:pPr>
        <w:pStyle w:val="169"/>
        <w:shd w:val="clear" w:color="auto" w:fill="FCFCFC"/>
        <w:spacing w:before="0" w:beforeAutospacing="0" w:after="0" w:afterAutospacing="0"/>
        <w:ind w:firstLine="720"/>
        <w:jc w:val="both"/>
        <w:rPr>
          <w:color w:val="000000" w:themeColor="text1"/>
          <w:sz w:val="28"/>
          <w:szCs w:val="28"/>
          <w:lang w:val="vi-VN"/>
          <w14:textFill>
            <w14:solidFill>
              <w14:schemeClr w14:val="tx1"/>
            </w14:solidFill>
          </w14:textFill>
        </w:rPr>
      </w:pPr>
      <w:r>
        <w:rPr>
          <w:color w:val="000000" w:themeColor="text1"/>
          <w:sz w:val="28"/>
          <w:szCs w:val="28"/>
          <w:lang w:val="vi-VN"/>
          <w14:textFill>
            <w14:solidFill>
              <w14:schemeClr w14:val="tx1"/>
            </w14:solidFill>
          </w14:textFill>
        </w:rPr>
        <w:t>đ) Thông tin về sức khỏe, tình trạng nhiễm HIV, trẻ em và thông tin cá nhân khác phải được quản lý, khai thác, sử dụng và cung cấp đúng mục đích, phạm vi, thẩm quyền theo quy định của pháp luật. Danh sách và hồ sơ phục vụ thanh toán, quyết toán phải bảo đảm xác định đúng đối tượng, mức hỗ trợ, thời gian hưởng và không thanh toán trùng lặp.</w:t>
      </w:r>
    </w:p>
    <w:p w14:paraId="499498E7">
      <w:pPr>
        <w:spacing w:after="0" w:line="240" w:lineRule="auto"/>
        <w:ind w:firstLine="720"/>
        <w:rPr>
          <w:rFonts w:cs="Times New Roman"/>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2. Chính sách hỗ trợ viên chức và người lao động tại Điều 4</w:t>
      </w:r>
    </w:p>
    <w:p w14:paraId="2CB576E4">
      <w:pPr>
        <w:shd w:val="clear" w:color="auto" w:fill="FCFCFC"/>
        <w:spacing w:after="0" w:line="240" w:lineRule="auto"/>
        <w:ind w:firstLine="720"/>
        <w:rPr>
          <w:rFonts w:cs="Times New Roman"/>
          <w:bCs/>
          <w:color w:val="000000" w:themeColor="text1"/>
          <w:szCs w:val="28"/>
          <w:lang w:val="vi-VN"/>
          <w14:textFill>
            <w14:solidFill>
              <w14:schemeClr w14:val="tx1"/>
            </w14:solidFill>
          </w14:textFill>
        </w:rPr>
      </w:pPr>
      <w:r>
        <w:rPr>
          <w:rFonts w:cs="Times New Roman"/>
          <w:bCs/>
          <w:color w:val="000000" w:themeColor="text1"/>
          <w:szCs w:val="28"/>
          <w:lang w:val="vi-VN"/>
          <w14:textFill>
            <w14:solidFill>
              <w14:schemeClr w14:val="tx1"/>
            </w14:solidFill>
          </w14:textFill>
        </w:rPr>
        <w:t>a) Thành phần hồ sơ</w:t>
      </w:r>
    </w:p>
    <w:p w14:paraId="253A6955">
      <w:pPr>
        <w:shd w:val="clear" w:color="auto" w:fill="FCFCFC"/>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Đơn vị sử dụng viên chức, người lao động lập hồ sơ đề nghị hỗ trợ, gồm: Văn bản đề nghị hỗ trợ của đơn vị kèm theo danh sách dối tượng, số kinh phí được hưởng trình cơ quan quản lý cấp trên.</w:t>
      </w:r>
    </w:p>
    <w:p w14:paraId="67E1045B">
      <w:pPr>
        <w:shd w:val="clear" w:color="auto" w:fill="FCFCFC"/>
        <w:spacing w:after="0" w:line="240" w:lineRule="auto"/>
        <w:ind w:firstLine="720"/>
        <w:rPr>
          <w:rFonts w:cs="Times New Roman"/>
          <w:bCs/>
          <w:color w:val="000000" w:themeColor="text1"/>
          <w:szCs w:val="28"/>
          <w:lang w:val="vi-VN"/>
          <w14:textFill>
            <w14:solidFill>
              <w14:schemeClr w14:val="tx1"/>
            </w14:solidFill>
          </w14:textFill>
        </w:rPr>
      </w:pPr>
      <w:r>
        <w:rPr>
          <w:rFonts w:cs="Times New Roman"/>
          <w:bCs/>
          <w:color w:val="000000" w:themeColor="text1"/>
          <w:szCs w:val="28"/>
          <w:lang w:val="vi-VN"/>
          <w14:textFill>
            <w14:solidFill>
              <w14:schemeClr w14:val="tx1"/>
            </w14:solidFill>
          </w14:textFill>
        </w:rPr>
        <w:t>b) Trình tự, thời hạn giải quyết</w:t>
      </w:r>
    </w:p>
    <w:p w14:paraId="50972949">
      <w:pPr>
        <w:shd w:val="clear" w:color="auto" w:fill="FCFCFC"/>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Trước ngày 15 tháng 01 hằng năm, các đơn vị sự nghiệp công lập gửi hồ sơ về cơ quan quản lý cấp trên để trình cơ quan có thẩm quyền cấp kinh phí.</w:t>
      </w:r>
    </w:p>
    <w:p w14:paraId="092F529A">
      <w:pPr>
        <w:shd w:val="clear" w:color="auto" w:fill="FCFCFC"/>
        <w:spacing w:after="0" w:line="240" w:lineRule="auto"/>
        <w:ind w:firstLine="720"/>
        <w:rPr>
          <w:rFonts w:cs="Times New Roman"/>
          <w:bCs/>
          <w:color w:val="000000" w:themeColor="text1"/>
          <w:szCs w:val="28"/>
          <w:lang w:val="vi-VN"/>
          <w14:textFill>
            <w14:solidFill>
              <w14:schemeClr w14:val="tx1"/>
            </w14:solidFill>
          </w14:textFill>
        </w:rPr>
      </w:pPr>
      <w:r>
        <w:rPr>
          <w:rFonts w:cs="Times New Roman"/>
          <w:bCs/>
          <w:color w:val="000000" w:themeColor="text1"/>
          <w:szCs w:val="28"/>
          <w:lang w:val="vi-VN"/>
          <w14:textFill>
            <w14:solidFill>
              <w14:schemeClr w14:val="tx1"/>
            </w14:solidFill>
          </w14:textFill>
        </w:rPr>
        <w:t>c) Tổ chức chi trả và điều chỉnh</w:t>
      </w:r>
    </w:p>
    <w:p w14:paraId="7638371B">
      <w:pPr>
        <w:spacing w:before="120"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Trên cơ sở kinh phí đã được cấp, căn cứ vào mức hỗ trợ của từng đối tượng, các đơn vị chịu trách nhiệm chi trả chế độ định kỳ hàng tháng hoặc hàng quý theo quy định hiện hành.</w:t>
      </w:r>
    </w:p>
    <w:p w14:paraId="4DB911E1">
      <w:pPr>
        <w:spacing w:after="0" w:line="240" w:lineRule="auto"/>
        <w:ind w:firstLine="720"/>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3. Hỗ trợ tiền ăn, tiền đi lại và chi phí khám bệnh, chữa bệnh tại các Điều 5, 6, 7</w:t>
      </w:r>
    </w:p>
    <w:p w14:paraId="5261626D">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3.1. Thành phần hồ sơ</w:t>
      </w:r>
    </w:p>
    <w:p w14:paraId="65E3D41F">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Giấy đề nghị hỗ trợ theo Mẫu số 01 Phụ lục III;</w:t>
      </w:r>
    </w:p>
    <w:p w14:paraId="34DA548F">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Giấy ra viện hoặc tài liệu khám bệnh, chữa bệnh hợp pháp thể hiện thời gian, chẩn đoán và kết quả điều trị. Trường hợp đề nghị hỗ trợ đưa người bệnh tử vong hoặc tiên lượng tử vong về nhà, sử dụng thông tin trong hồ sơ điều trị, giấy báo tử hoặc tài liệu tương ứng do cơ sở khám bệnh, chữa bệnh cấp;</w:t>
      </w:r>
    </w:p>
    <w:p w14:paraId="1FCA6657">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 Hóa đơn, bảng kê chi phí khám bệnh, chữa bệnh thể hiện số tiền quỹ bảo hiểm y tế thanh toán và phần người bệnh phải chi trả; không yêu cầu giấy tờ này nếu chỉ đề nghị hỗ trợ tiền ăn, tiền đi lại;</w:t>
      </w:r>
    </w:p>
    <w:p w14:paraId="2FDD4B00">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d) Thông tin hoặc giấy tờ chứng minh nhóm đối tượng được hỗ trợ, gồm một trong các tài liệu phù hợp: kết quả công nhận hộ nghèo, hộ cận nghèo; quyết định hưởng trợ cấp xã hội; quyết định tiếp nhận vào cơ sở trợ giúp xã hội; thông tin dân tộc, địa bàn cư trú; tài liệu khám bệnh, chữa bệnh xác định bệnh thuộc Danh mục tại Phụ lục IV. Chỉ bổ sung giấy tờ mà cơ quan tiếp nhận chưa khai thác, xác thực được theo mục 1 Phụ lục này.</w:t>
      </w:r>
    </w:p>
    <w:p w14:paraId="396A4720">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3.2. Nơi tiếp nhận và thanh toán</w:t>
      </w:r>
    </w:p>
    <w:p w14:paraId="7D414454">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Khám bệnh, chữa bệnh tại cơ sở y tế công lập trong tỉnh được giao thực hiện chính sách: nộp tại cơ sở nơi khám bệnh, chữa bệnh;</w:t>
      </w:r>
    </w:p>
    <w:p w14:paraId="1B1178A4">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Khám bệnh, chữa bệnh tại cơ sở ngoài tỉnh, cơ sở ngoài công lập trong tỉnh hoặc cơ sở chưa được giao thực hiện thanh toán: nộp tại bệnh viện, trung tâm y tế công lập có giường bệnh do Sở Y tế phân công theo địa bàn thường trú của người bệnh. Danh sách phân công phải được công khai để người dân biết và thực hiện.</w:t>
      </w:r>
    </w:p>
    <w:p w14:paraId="61ADD470">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3.3. Thời hạn nộp và giải quyết</w:t>
      </w:r>
    </w:p>
    <w:p w14:paraId="595FF462">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Trong thời hạn 30 ngày làm việc kể từ ngày kết thúc đợt khám bệnh, chữa bệnh, người bệnh hoặc người đại diện nộp hồ sơ;</w:t>
      </w:r>
    </w:p>
    <w:p w14:paraId="624DCC1D">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Trong thời hạn 03 ngày làm việc kể từ ngày nhận đủ hồ sơ hợp lệ, người đứng đầu cơ sở tiếp nhận xem xét, quyết định và thực hiện thanh toán hỗ trợ;</w:t>
      </w:r>
    </w:p>
    <w:p w14:paraId="7B5B60B4">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 Trường hợp hồ sơ chưa đầy đủ, trong thời hạn 03 ngày làm việc kể từ ngày tiếp nhận, cơ sở thông báo nội dung cần bổ sung. Người nộp hoàn thiện trong thời hạn 30 ngày làm việc kể từ ngày nhận thông báo; cơ sở thanh toán trong thời hạn 03 ngày làm việc kể từ ngày nhận đủ hồ sơ hợp lệ;</w:t>
      </w:r>
    </w:p>
    <w:p w14:paraId="3864403B">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d) Trường hợp không đủ điều kiện hỗ trợ, trong thời hạn 03 ngày làm việc kể từ ngày tiếp nhận, cơ sở thông báo từ chối bằng văn bản, nêu rõ lý do.</w:t>
      </w:r>
    </w:p>
    <w:p w14:paraId="3A70C853">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3.4. Cơ sở thanh toán có trách nhiệm kiểm tra số lần hỗ trợ trong năm, phần chi phí đã được nguồn khác thanh toán, khoảng cách và giá xăng làm căn cứ tính hỗ trợ; lưu tài liệu xác định mức hỗ trợ cùng hồ sơ thanh toán. Một đợt điều trị không tách thành nhiều hồ sơ để vượt giới hạn hỗ trợ.</w:t>
      </w:r>
    </w:p>
    <w:p w14:paraId="7C98E0BF">
      <w:pPr>
        <w:spacing w:after="0" w:line="240" w:lineRule="auto"/>
        <w:ind w:firstLine="720"/>
        <w:rPr>
          <w:rFonts w:cs="Times New Roman"/>
          <w:b/>
          <w:bCs/>
          <w:color w:val="000000" w:themeColor="text1"/>
          <w:szCs w:val="28"/>
          <w:lang w:val="vi-VN"/>
          <w14:textFill>
            <w14:solidFill>
              <w14:schemeClr w14:val="tx1"/>
            </w14:solidFill>
          </w14:textFill>
        </w:rPr>
      </w:pPr>
      <w:r>
        <w:rPr>
          <w:rFonts w:cs="Times New Roman"/>
          <w:b/>
          <w:bCs/>
          <w:color w:val="000000" w:themeColor="text1"/>
          <w:szCs w:val="28"/>
          <w:lang w:val="vi-VN"/>
          <w14:textFill>
            <w14:solidFill>
              <w14:schemeClr w14:val="tx1"/>
            </w14:solidFill>
          </w14:textFill>
        </w:rPr>
        <w:t>4.  Hỗ trợ chi phí cùng chi trả thuốc ARV tại Điều 8 và hỗ trợ đóng bảo hiểm y tế cho người nhiễm HIV/AIDS và điểm đ khoản 1 Điều 10</w:t>
      </w:r>
    </w:p>
    <w:p w14:paraId="3A869A59">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4.1. Thành phần hồ sơ gồm giấy đề nghị theo Mẫu số 02 Phụ lục III và thông tin xác nhận tình trạng nhiễm HIV do cơ sở y tế đang quản lý, điều trị cung cấp. Trường hợp thông tin đã có đầy đủ trong hồ sơ quản lý, hồ sơ bệnh án hoặc bệnh án điện tử, cơ sở lập danh sách đề nghị, không yêu cầu người bệnh nộp lại giấy đề nghị, giấy xác nhận.</w:t>
      </w:r>
    </w:p>
    <w:p w14:paraId="6C8D3F14">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4.2. Người bệnh hoặc người đại diện gửi hồ sơ đến cơ sở điều trị hoặc Trung tâm Kiểm soát bệnh tật tỉnh Hà Tĩnh. Cơ sở điều trị xác nhận phần chi phí cùng chi trả thuốc ARV theo hồ sơ khám bệnh, chữa bệnh bảo hiểm y tế; phối hợp với Trung tâm Kiểm soát bệnh tật tỉnh rà soát, loại trừ trường hợp đã được nguồn khác bảo đảm.</w:t>
      </w:r>
    </w:p>
    <w:p w14:paraId="3BAC8441">
      <w:pPr>
        <w:spacing w:after="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4.3. Trung tâm Kiểm soát bệnh tật tỉnh phối hợp với cơ quan bảo hiểm xã hội xác định đối tượng, mức đóng, thời gian cần hỗ trợ; tổ chức thực hiện hỗ trợ đóng bảo hiểm y tế kịp thời để bảo đảm tính liên tục của thẻ. Hằng quý, cơ sở điều trị, Trung tâm Kiểm soát bệnh tật tỉnh tổng hợp, thẩm định, quyết định hỗ trợ thuộc nhiệm vụ được giao và thanh toán, quyết toán theo quy định; không để việc tổng hợp theo quý làm chậm việc tham gia, gia hạn thẻ của người đủ điều kiện.</w:t>
      </w:r>
    </w:p>
    <w:p w14:paraId="09A3E26C">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5. Thù lao cộng tác viên dân số tại Điều 9</w:t>
      </w:r>
    </w:p>
    <w:p w14:paraId="4ECF4450">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5.1. Hồ sơ chi trả do trạm y tế xã, phường hoặc đơn vị được giao quản lý lập, gồm danh sách cộng tác viên được Ủy ban nhân dân cấp xã phê duyệt theo số lượng được giao, địa bàn hoạt động, mức thù lao; hợp đồng hoặc thỏa thuận thực hiện nhiệm vụ đối với người kiêm nhiệm; bảng kê thời gian thực hiện nhiệm vụ và chứng từ chi trả.</w:t>
      </w:r>
    </w:p>
    <w:p w14:paraId="785CC434">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5.2. Trạm y tế xã, phường rà soát địa bàn, tiêu chí áp dụng mức thù lao và thời gian thực hiện nhiệm vụ; trình Ủy ban nhân dân cấp xã phê duyệt, điều chỉnh danh sách khi có thay đổi. Cơ quan, đơn vị được giao kinh phí thực hiện chi trả hằng tháng; không yêu cầu cộng tác viên lập hồ sơ đề nghị hưởng lặp lại từng tháng.</w:t>
      </w:r>
    </w:p>
    <w:p w14:paraId="228B9966">
      <w:pPr>
        <w:spacing w:before="120" w:line="240" w:lineRule="auto"/>
        <w:ind w:firstLine="720"/>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6. Đối với chính sách hỗ trợ đóng bảo hiểm y tế tại Điều 10 (trừ đối tượng tại điểm đ khoản 1 Điều 10)</w:t>
      </w:r>
    </w:p>
    <w:p w14:paraId="2896A917">
      <w:pPr>
        <w:keepNext/>
        <w:keepLines/>
        <w:spacing w:before="120" w:line="240" w:lineRule="auto"/>
        <w:ind w:firstLine="720"/>
        <w:rPr>
          <w:rFonts w:cs="Times New Roman"/>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6.1. Rà soát, lập danh sách</w:t>
      </w:r>
    </w:p>
    <w:p w14:paraId="1F80299E">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Ủy ban nhân dân cấp xã rà soát người thuộc các nhóm quy định tại khoản 1 Điều 10 Nghị quyết này; căn cứ thông tin cư trú, ngày tháng năm sinh, kết quả công nhận hộ cận nghèo, hộ gia đình làm nông nghiệp, lâm nghiệp, ngư nghiệp, diêm nghiệp có mức sống trung bình và tình trạng tham gia bảo hiểm y tế để lập danh sách gửi cơ quan bảo hiểm xã hội quản lý địa bàn đề nghị cấp thẻ bảo hiểm y tế.</w:t>
      </w:r>
    </w:p>
    <w:p w14:paraId="12CBFE4B">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Đối với người tham gia theo hình thức tự đóng hoặc được ngân sách nhà nước hỗ trợ một phần mức đóng, việc đăng ký tham gia thực hiện tại cơ quan bảo hiểm xã hội hoặc tổ chức hỗ trợ phát triển đối tượng bảo hiểm xã hội, bảo hiểm thất nghiệp, bảo hiểm y tế theo quy định. Cơ quan bảo hiểm xã hội phối hợp với Ủy ban nhân dân cấp xã xác định nhóm đối tượng và mức hỗ trợ; không yêu cầu lập thêm hồ sơ ngoài hồ sơ tham gia bảo hiểm y tế theo pháp luật về bảo hiểm y tế.</w:t>
      </w:r>
    </w:p>
    <w:p w14:paraId="22C2DCAA">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6.2. Xác định mức hỗ trợ và tổ chức thực hiện</w:t>
      </w:r>
    </w:p>
    <w:p w14:paraId="3A769A04">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Cơ quan bảo hiểm xã hội kiểm tra, đối chiếu danh sách và dữ liệu quản lý; xác định mức đóng, thời gian hỗ trợ và kinh phí ngân sách tỉnh hỗ trợ theo từng nhóm tại khoản 2 Điều 10 Nghị quyết này, bảo đảm tổng mức hỗ trợ không vượt quá 100% mức đóng;</w:t>
      </w:r>
    </w:p>
    <w:p w14:paraId="22BFEAC7">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Đối với người được ngân sách tỉnh hỗ trợ toàn bộ mức đóng, cơ quan bảo hiểm xã hội căn cứ danh sách đề nghị cấp thẻ bảo hiểm y tế của Ủy ban nhân dân các xã, phường để thực hiện cấp, gia hạn giá trị sử dụng thẻ theo quy định. Đối với người được hỗ trợ một phần mức đóng, cơ quan bảo hiểm xã hội hoặc tổ chức hỗ trợ phát triển đối tượng bảo hiểm xã hội, bảo hiểm thất nghiệp, bảo hiểm y tế thực hiện giảm trừ phần kinh phí được hỗ trợ khi thu tiền đóng; đối tượng đóng phần còn lại theo quy định;</w:t>
      </w:r>
    </w:p>
    <w:p w14:paraId="181E37F8">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 Ủy ban nhân dân cấp xã và cơ quan bảo hiểm xã hội cập nhật kịp thời các trường hợp tăng, giảm, thay đổi nhóm đối tượng; việc hỗ trợ đối với người đang có thẻ bảo hiểm y tế còn giá trị sử dụng thực hiện theo Điều 10 Nghị quyết này.</w:t>
      </w:r>
    </w:p>
    <w:p w14:paraId="416ABDEC">
      <w:pPr>
        <w:keepNext/>
        <w:keepLines/>
        <w:spacing w:before="120" w:line="240" w:lineRule="auto"/>
        <w:ind w:firstLine="720"/>
        <w:rPr>
          <w:rFonts w:cs="Times New Roman"/>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6.3. Tổng hợp, chuyển kinh phí và quyết toán</w:t>
      </w:r>
    </w:p>
    <w:p w14:paraId="47365D51">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Định kỳ 03 tháng, 06 tháng hoặc 12 tháng, cơ quan bảo hiểm xã hội tỉnh tổng hợp số đối tượng, thời gian và kinh phí đề nghị ngân sách tỉnh hỗ trợ, gửi Sở Tài chính;</w:t>
      </w:r>
    </w:p>
    <w:p w14:paraId="458403AF">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Sở Tài chính kiểm tra, tổng hợp, tham mưu Ủy ban nhân dân tỉnh bố trí, chuyển kinh phí cho cơ quan bảo hiểm xã hội tỉnh theo thẩm quyền;</w:t>
      </w:r>
    </w:p>
    <w:p w14:paraId="3754BD4B">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 Việc đối chiếu, thanh toán, quyết toán kinh phí và xử lý số kinh phí chênh lệch giữa số đề nghị và số thực tế phát sinh thực hiện theo pháp luật về bảo hiểm y tế, ngân sách nhà nước và Phụ lục I ban hành kèm theo Nghị quyết này.</w:t>
      </w:r>
    </w:p>
    <w:p w14:paraId="22DA4821">
      <w:pPr>
        <w:spacing w:before="120" w:line="240" w:lineRule="auto"/>
        <w:ind w:firstLine="720"/>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7. Đối với chính sách tặng quà Tết tại Điều 11</w:t>
      </w:r>
    </w:p>
    <w:p w14:paraId="18DEC1F2">
      <w:pPr>
        <w:keepNext/>
        <w:keepLines/>
        <w:spacing w:before="120" w:line="240" w:lineRule="auto"/>
        <w:ind w:firstLine="720"/>
        <w:rPr>
          <w:rFonts w:cs="Times New Roman"/>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7.1. Rà soát, lập dự toán</w:t>
      </w:r>
    </w:p>
    <w:p w14:paraId="7B7D312B">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Hằng năm, vào thời điểm lập dự toán ngân sách nhà nước, Ủy ban nhân dân cấp xã rà soát đối tượng quy định tại khoản 1 Điều 11 Nghị quyết này thuộc phạm vi quản lý; lập dự toán kinh phí thực hiện chính sách, gửi Sở Tài chính tổng hợp, đồng thời gửi Sở Y tế để theo dõi;</w:t>
      </w:r>
    </w:p>
    <w:p w14:paraId="691A21F5">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Cơ sở trợ giúp xã hội công lập và Bệnh viện Sức khỏe Tâm thần Hà Tĩnh rà soát đối tượng đang được chăm sóc, nuôi dưỡng thuộc diện được tặng quà; lập dự toán kinh phí thực hiện chính sách, gửi cơ quan quản lý trực tiếp kiểm tra, tổng hợp và đề nghị Sở Tài chính tham mưu bố trí kinh phí.</w:t>
      </w:r>
    </w:p>
    <w:p w14:paraId="6BEC63D3">
      <w:pPr>
        <w:keepNext/>
        <w:keepLines/>
        <w:spacing w:before="120" w:line="240" w:lineRule="auto"/>
        <w:ind w:firstLine="720"/>
        <w:rPr>
          <w:rFonts w:cs="Times New Roman"/>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7.2. Phê duyệt danh sách và tổ chức tặng quà</w:t>
      </w:r>
    </w:p>
    <w:p w14:paraId="2025E9D3">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Trước ngày 15 tháng 11 hằng năm, Ủy ban nhân dân cấp xã, cơ sở trợ giúp xã hội công lập và Bệnh viện Sức khỏe Tâm thần Hà Tĩnh lập danh sách đề nghị tặng quà Tết Nguyên đán năm tiếp theo; kiểm tra, đối chiếu để mỗi người chỉ có tên trong một danh sách hưởng chính sách này;</w:t>
      </w:r>
    </w:p>
    <w:p w14:paraId="564E7E9B">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Chủ tịch Ủy ban nhân dân cấp xã phê duyệt danh sách thuộc phạm vi quản lý. Cơ quan quản lý trực tiếp phê duyệt danh sách của cơ sở trợ giúp xã hội công lập, Bệnh viện Sức khỏe Tâm thần Hà Tĩnh thuộc phạm vi quản lý;</w:t>
      </w:r>
    </w:p>
    <w:p w14:paraId="76FD714E">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 Căn cứ danh sách được phê duyệt và dự toán được giao, Ủy ban nhân dân cấp xã, cơ sở trợ giúp xã hội công lập và Bệnh viện Sức khỏe Tâm thần Hà Tĩnh tổ chức tặng quà trước Tết Nguyên đán theo mức quy định tại khoản 2 Điều 11 Nghị quyết này; lập chứng từ chuyển khoản hoặc danh sách ký nhận, lưu hồ sơ và quyết toán theo quy định. Trường hợp có biến động đối tượng sau khi phê duyệt danh sách, cơ quan, đơn vị kịp thời rà soát, trình cấp có thẩm quyền điều chỉnh.</w:t>
      </w:r>
    </w:p>
    <w:p w14:paraId="451E218C">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8. Đối với chính sách chúc thọ, mừng thọ tại Điều 12</w:t>
      </w:r>
    </w:p>
    <w:p w14:paraId="3BA2B3EE">
      <w:pPr>
        <w:keepNext/>
        <w:keepLines/>
        <w:spacing w:before="120" w:line="240" w:lineRule="auto"/>
        <w:ind w:firstLine="720"/>
        <w:rPr>
          <w:rFonts w:cs="Times New Roman"/>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8.1. Rà soát, lập dự toán và danh sách</w:t>
      </w:r>
    </w:p>
    <w:p w14:paraId="28598B5E">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Hằng năm, vào thời điểm lập dự toán ngân sách nhà nước, Ủy ban nhân dân cấp xã rà soát người cao tuổi đủ tuổi được chúc thọ, mừng thọ trong năm tiếp theo theo khoản 1 Điều 12 Nghị quyết này; lập dự toán kinh phí thực hiện chính sách. Cơ sở trợ giúp xã hội công lập, Bệnh viện Sức khỏe Tâm thần Hà Tĩnh phối hợp với Ủy ban nhân dân cấp xã nơi người cao tuổi đăng ký thường trú để đối chiếu danh sách, bảo đảm không trùng lặp;</w:t>
      </w:r>
    </w:p>
    <w:p w14:paraId="3B8DD526">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Trước ngày 15 tháng 11 hằng năm, Ủy ban nhân dân cấp xã lập danh sách người cao tuổi đề nghị chúc thọ, mừng thọ, kèm văn bản đề nghị kinh phí gửi Sở Tài chính; đồng thời gửi Sở Y tế danh sách người tròn 90 tuổi, tròn 100 tuổi để tổng hợp, tham mưu cấp có thẩm quyền tổ chức chúc thọ, mừng thọ, tặng thiếp chúc thọ theo quy định;</w:t>
      </w:r>
    </w:p>
    <w:p w14:paraId="25AAC1FF">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 Chủ tịch Ủy ban nhân dân cấp xã phê duyệt danh sách người cao tuổi được chúc thọ, mừng thọ thuộc phạm vi quản lý; đề xuất người tròn 90 tuổi hoặc tròn 100 tuổi để lãnh đạo tỉnh trực tiếp chúc thọ, mừng thọ, bảo đảm tổng số không quá 01 người/xã, phường/năm theo điểm đ khoản 2 Điều 12 Nghị quyết này.</w:t>
      </w:r>
    </w:p>
    <w:p w14:paraId="037B1871">
      <w:pPr>
        <w:keepNext/>
        <w:keepLines/>
        <w:spacing w:before="120" w:line="240" w:lineRule="auto"/>
        <w:ind w:firstLine="720"/>
        <w:rPr>
          <w:rFonts w:cs="Times New Roman"/>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8.2. Tổ chức thực hiện</w:t>
      </w:r>
    </w:p>
    <w:p w14:paraId="141DD2FD">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Căn cứ danh sách được phê duyệt và dự toán được giao, Ủy ban nhân dân cấp xã tổ chức chúc thọ, mừng thọ theo các mức tại khoản 2 Điều 12 Nghị quyết này; phối hợp với cơ sở đang chăm sóc, nuôi dưỡng để tổ chức thực hiện đối với người cao tuổi tại cơ sở;</w:t>
      </w:r>
    </w:p>
    <w:p w14:paraId="2B599D00">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Quà bằng hiện vật đối với người được lãnh đạo tỉnh trực tiếp chúc thọ, mừng thọ thực hiện theo điểm đ khoản 2 Điều 12 Nghị quyết này. Việc làm thiếp, mua khung thiếp và tổ chức chúc thọ, mừng thọ thực hiện theo pháp luật về người cao tuổi và quy định của cấp có thẩm quyền;</w:t>
      </w:r>
    </w:p>
    <w:p w14:paraId="69D4F355">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 Hồ sơ thanh toán, quyết toán gồm danh sách được phê duyệt, chứng từ chi trả quà bằng tiền, hóa đơn, chứng từ mua quà bằng hiện vật và chứng từ hợp pháp khác có liên quan; kinh phí được quản lý, thanh toán, quyết toán theo Phụ lục I ban hành kèm theo Nghị quyết này.</w:t>
      </w:r>
    </w:p>
    <w:p w14:paraId="22D7D4B9">
      <w:pPr>
        <w:keepNext/>
        <w:keepLines/>
        <w:spacing w:before="120" w:after="60" w:line="274" w:lineRule="auto"/>
        <w:ind w:firstLine="567"/>
        <w:jc w:val="left"/>
        <w:outlineLvl w:val="0"/>
        <w:rPr>
          <w:rFonts w:cs="Times New Roman" w:eastAsiaTheme="majorEastAsia"/>
          <w:b/>
          <w:bCs/>
          <w:color w:val="000000" w:themeColor="text1"/>
          <w:szCs w:val="28"/>
          <w:lang w:val="vi-VN"/>
          <w14:textFill>
            <w14:solidFill>
              <w14:schemeClr w14:val="tx1"/>
            </w14:solidFill>
          </w14:textFill>
        </w:rPr>
      </w:pPr>
      <w:r>
        <w:rPr>
          <w:rFonts w:cs="Times New Roman"/>
          <w:b/>
          <w:bCs/>
          <w:color w:val="000000" w:themeColor="text1"/>
          <w:szCs w:val="28"/>
          <w:lang w:val="vi-VN"/>
          <w14:textFill>
            <w14:solidFill>
              <w14:schemeClr w14:val="tx1"/>
            </w14:solidFill>
          </w14:textFill>
        </w:rPr>
        <w:t>9. Hỗ trợ thu nhập hằng tháng đối với thành viên hộ nghèo không có khả năng lao động tại Điều 13</w:t>
      </w:r>
    </w:p>
    <w:p w14:paraId="738B9EDB">
      <w:pPr>
        <w:keepNext/>
        <w:keepLines/>
        <w:spacing w:before="120" w:after="60" w:line="274" w:lineRule="auto"/>
        <w:ind w:firstLine="567"/>
        <w:jc w:val="left"/>
        <w:outlineLvl w:val="1"/>
        <w:rPr>
          <w:rFonts w:cs="Times New Roman" w:eastAsiaTheme="majorEastAsia"/>
          <w:b/>
          <w:bCs/>
          <w:color w:val="000000" w:themeColor="text1"/>
          <w:szCs w:val="28"/>
          <w:lang w:val="vi-VN"/>
          <w14:textFill>
            <w14:solidFill>
              <w14:schemeClr w14:val="tx1"/>
            </w14:solidFill>
          </w14:textFill>
        </w:rPr>
      </w:pPr>
      <w:r>
        <w:rPr>
          <w:rFonts w:cs="Times New Roman" w:eastAsiaTheme="majorEastAsia"/>
          <w:b/>
          <w:bCs/>
          <w:color w:val="000000" w:themeColor="text1"/>
          <w:szCs w:val="28"/>
          <w:lang w:val="vi-VN"/>
          <w14:textFill>
            <w14:solidFill>
              <w14:schemeClr w14:val="tx1"/>
            </w14:solidFill>
          </w14:textFill>
        </w:rPr>
        <w:t>9.1. Thành phần hồ sơ</w:t>
      </w:r>
    </w:p>
    <w:p w14:paraId="15DFAE94">
      <w:pPr>
        <w:spacing w:after="40" w:line="274" w:lineRule="auto"/>
        <w:ind w:firstLine="567"/>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Tờ khai đề nghị hỗ trợ thu nhập hằng tháng theo Mẫu số 03 Phụ lục III ban hành kèm theo Nghị quyết này.</w:t>
      </w:r>
    </w:p>
    <w:p w14:paraId="0BA962D8">
      <w:pPr>
        <w:spacing w:after="40" w:line="274" w:lineRule="auto"/>
        <w:ind w:firstLine="567"/>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Đối với người mắc bệnh hiểm nghèo quy định tại điểm a khoản 1 Điều 13 Nghị quyết này: Tài liệu khám bệnh, chữa bệnh hợp pháp như giấy ra viện, bản tóm tắt hồ sơ bệnh án hoặc tài liệu tương đương, có thông tin chẩn đoán, thể bệnh, mức độ hoặc tình trạng bệnh cần thiết để đối chiếu với Danh mục tại Phụ lục IV ban hành kèm theo Nghị quyết này.</w:t>
      </w:r>
    </w:p>
    <w:p w14:paraId="35799E9E">
      <w:pPr>
        <w:spacing w:after="40" w:line="274" w:lineRule="auto"/>
        <w:ind w:firstLine="567"/>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 Đối với trẻ em dưới 16 tuổi mồ côi cha hoặc mẹ quy định tại điểm c khoản 1 Điều 13 Nghị quyết này: Thông tin hộ tịch hoặc giấy khai sinh, trích lục khai sinh; thông tin khai tử, trích lục khai tử, giấy chứng tử của cha hoặc mẹ đã chết hoặc quyết định có hiệu lực pháp luật của Tòa án tuyên bố cha hoặc mẹ đã chết.</w:t>
      </w:r>
    </w:p>
    <w:p w14:paraId="6E5A5BCF">
      <w:pPr>
        <w:spacing w:after="40" w:line="274" w:lineRule="auto"/>
        <w:ind w:firstLine="567"/>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d) Thông tin về việc người đề nghị là thành viên của hộ nghèo không có khả năng lao động được xác định theo kết quả rà soát, phân loại hộ nghèo hằng năm hoặc trong năm đã được cơ quan có thẩm quyền công nhận; thông tin độ tuổi, cư trú và chế độ trợ cấp hằng tháng đang hưởng do Ủy ban nhân dân cấp xã tra cứu, đối chiếu từ cơ sở dữ liệu và hồ sơ quản lý. Không yêu cầu người dân nộp giấy xác nhận hộ nghèo hoặc giấy xác nhận hộ nghèo không có khả năng lao động riêng.</w:t>
      </w:r>
    </w:p>
    <w:p w14:paraId="583F2F74">
      <w:pPr>
        <w:spacing w:after="40" w:line="274" w:lineRule="auto"/>
        <w:ind w:firstLine="567"/>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Các giấy tờ tại các điểm b, c và d, đ mục này chỉ yêu cầu cung cấp khi thông tin tương ứng chưa được cơ quan giải quyết khai thác, xác thực hợp lệ từ cơ sở dữ liệu hoặc hồ sơ quản lý. Không yêu cầu nộp lại giấy tờ, thông tin đã được khai thác, xác thực hợp lệ; không yêu cầu người dân tự xin giấy xác nhận riêng đối với nội dung thuộc trách nhiệm xác minh của cơ quan giải quyết.</w:t>
      </w:r>
    </w:p>
    <w:p w14:paraId="2416EAA9">
      <w:pPr>
        <w:keepNext/>
        <w:keepLines/>
        <w:spacing w:before="120" w:after="60" w:line="274" w:lineRule="auto"/>
        <w:ind w:firstLine="567"/>
        <w:jc w:val="left"/>
        <w:outlineLvl w:val="1"/>
        <w:rPr>
          <w:rFonts w:cs="Times New Roman"/>
          <w:color w:val="000000" w:themeColor="text1"/>
          <w:szCs w:val="28"/>
          <w:lang w:val="vi-VN"/>
          <w14:textFill>
            <w14:solidFill>
              <w14:schemeClr w14:val="tx1"/>
            </w14:solidFill>
          </w14:textFill>
        </w:rPr>
      </w:pPr>
      <w:r>
        <w:rPr>
          <w:rFonts w:cs="Times New Roman" w:eastAsiaTheme="majorEastAsia"/>
          <w:b/>
          <w:bCs/>
          <w:color w:val="000000" w:themeColor="text1"/>
          <w:szCs w:val="28"/>
          <w:lang w:val="vi-VN"/>
          <w14:textFill>
            <w14:solidFill>
              <w14:schemeClr w14:val="tx1"/>
            </w14:solidFill>
          </w14:textFill>
        </w:rPr>
        <w:t xml:space="preserve">9.2. Số lượng hồ sơ: </w:t>
      </w:r>
      <w:r>
        <w:rPr>
          <w:rFonts w:cs="Times New Roman"/>
          <w:color w:val="000000" w:themeColor="text1"/>
          <w:szCs w:val="28"/>
          <w:lang w:val="vi-VN"/>
          <w14:textFill>
            <w14:solidFill>
              <w14:schemeClr w14:val="tx1"/>
            </w14:solidFill>
          </w14:textFill>
        </w:rPr>
        <w:t>01 bộ.</w:t>
      </w:r>
    </w:p>
    <w:p w14:paraId="0BCEDB10">
      <w:pPr>
        <w:keepNext/>
        <w:keepLines/>
        <w:spacing w:before="120" w:after="60" w:line="274" w:lineRule="auto"/>
        <w:ind w:firstLine="567"/>
        <w:jc w:val="left"/>
        <w:outlineLvl w:val="1"/>
        <w:rPr>
          <w:rFonts w:cs="Times New Roman" w:eastAsiaTheme="majorEastAsia"/>
          <w:b/>
          <w:bCs/>
          <w:color w:val="000000" w:themeColor="text1"/>
          <w:szCs w:val="28"/>
          <w:lang w:val="vi-VN"/>
          <w14:textFill>
            <w14:solidFill>
              <w14:schemeClr w14:val="tx1"/>
            </w14:solidFill>
          </w14:textFill>
        </w:rPr>
      </w:pPr>
      <w:r>
        <w:rPr>
          <w:rFonts w:cs="Times New Roman" w:eastAsiaTheme="majorEastAsia"/>
          <w:b/>
          <w:bCs/>
          <w:color w:val="000000" w:themeColor="text1"/>
          <w:szCs w:val="28"/>
          <w:lang w:val="vi-VN"/>
          <w14:textFill>
            <w14:solidFill>
              <w14:schemeClr w14:val="tx1"/>
            </w14:solidFill>
          </w14:textFill>
        </w:rPr>
        <w:t>9.3. Trình tự, thời hạn giải quyết và thời điểm hưởng</w:t>
      </w:r>
    </w:p>
    <w:p w14:paraId="72B1B79C">
      <w:pPr>
        <w:spacing w:after="40" w:line="274" w:lineRule="auto"/>
        <w:ind w:firstLine="567"/>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Nộp và tiếp nhận hồ sơ: Người đề nghị, người giám hộ hoặc người đại diện hợp pháp nộp 01 bộ hồ sơ trực tuyến qua Cổng Dịch vụ công quốc gia, qua dịch vụ bưu chính hoặc trực tiếp tại Bộ phận Một cửa theo quy định. Hồ sơ được chuyển đến Ủy ban nhân dân cấp xã nơi người đề nghị đăng ký thường trú trên địa bàn tỉnh Hà Tĩnh để giải quyết.</w:t>
      </w:r>
    </w:p>
    <w:p w14:paraId="1D15C68B">
      <w:pPr>
        <w:spacing w:after="40" w:line="274" w:lineRule="auto"/>
        <w:ind w:firstLine="567"/>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Kiểm tra, xác minh điều kiện hưởng: Ủy ban nhân dân cấp xã kiểm tra kết quả công nhận hộ nghèo, hồ sơ rà soát và phân loại hộ nghèo không có khả năng lao động còn giá trị; đối chiếu thành viên hộ, độ tuổi, thông tin hộ tịch, tình trạng bệnh hiểm nghèo (nếu thuộc điểm a khoản 1 Điều 13) và việc hưởng trợ cấp xã hội hằng tháng theo Điều 5 Nghị định số 335/2026/NĐ-CP, trợ cấp hưu trí xã hội hoặc khoản trợ cấp hằng tháng khác từ ngân sách nhà nước. Trường hợp thông tin chưa đầy đủ, có mâu thuẫn hoặc cần làm rõ, Ủy ban nhân dân cấp xã chủ động xác minh, lập biên bản và lưu hồ sơ.</w:t>
      </w:r>
    </w:p>
    <w:p w14:paraId="6122D17E">
      <w:pPr>
        <w:spacing w:after="40" w:line="274" w:lineRule="auto"/>
        <w:ind w:firstLine="567"/>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Đối với người từ đủ 60 tuổi đến dưới 70 tuổi, đối chiếu độ tuổi và việc là thành viên hộ nghèo không có khả năng lao động theo kết quả đã được cơ quan có thẩm quyền công nhận. Đối với trẻ em dưới 16 tuổi, đối chiếu thông tin hộ tịch xác định việc mồ côi cha hoặc mẹ và kết quả công nhận, phân loại hộ nghèo không có khả năng lao động. Kết quả kiểm tra, xác minh được lưu trong hồ sơ giải quyết.</w:t>
      </w:r>
    </w:p>
    <w:p w14:paraId="37EDBCD2">
      <w:pPr>
        <w:spacing w:after="40" w:line="274" w:lineRule="auto"/>
        <w:ind w:firstLine="567"/>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 Thẩm định, quyết định hỗ trợ: Trong thời hạn 07 ngày làm việc kể từ ngày nhận được hồ sơ theo quy định, Chủ tịch Ủy ban nhân dân cấp xã tổ chức xác thực thông tin, thẩm định và quyết định hỗ trợ thu nhập hằng tháng; trường hợp không đủ điều kiện thì trả lời bằng văn bản, nêu rõ lý do. Quyết định ghi rõ nhóm đối tượng, mức hỗ trợ bằng 01 lần mức chuẩn trợ giúp xã hội do Chính phủ quy định và thời điểm hưởng từ tháng ký quyết định.</w:t>
      </w:r>
    </w:p>
    <w:p w14:paraId="6FA3CCAC">
      <w:pPr>
        <w:spacing w:after="40" w:line="274" w:lineRule="auto"/>
        <w:ind w:firstLine="567"/>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d) Chi trả, điều chỉnh và thôi hưởng: Ủy ban nhân dân cấp xã tổ chức chi trả, quản lý danh sách và cập nhật biến động đối tượng. Trường hợp đối tượng chết, không còn đủ điều kiện hoặc thay đổi điều kiện hưởng, Chủ tịch Ủy ban nhân dân cấp xã xem xét, quyết định thôi hưởng hoặc điều chỉnh tương ứng; thời gian thôi hưởng từ tháng ngay sau tháng đối tượng chết hoặc không còn đủ điều kiện, thời gian điều chỉnh từ tháng phát sinh thay đổi. Trường hợp mức chuẩn trợ giúp xã hội được điều chỉnh thì mức hỗ trợ được xác định tương ứng kể từ thời điểm quy định mới có hiệu lực.</w:t>
      </w:r>
    </w:p>
    <w:p w14:paraId="440C6E5E">
      <w:pPr>
        <w:spacing w:after="40" w:line="274" w:lineRule="auto"/>
        <w:ind w:firstLine="567"/>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đ) Thay đổi nơi cư trú: Khi đối tượng đang hưởng hỗ trợ chuyển nơi đăng ký thường trú trong tỉnh và đề nghị tiếp tục hưởng tại nơi cư trú mới, Chủ tịch Ủy ban nhân dân cấp xã nơi chuyển đi quyết định thôi chi trả tại địa bàn và chuyển văn bản kèm hồ sơ, thông tin tháng đã chi trả đến Chủ tịch Ủy ban nhân dân cấp xã nơi chuyển đến.</w:t>
      </w:r>
    </w:p>
    <w:p w14:paraId="377EDB98">
      <w:pPr>
        <w:spacing w:after="40" w:line="274" w:lineRule="auto"/>
        <w:ind w:firstLine="567"/>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Chủ tịch Ủy ban nhân dân cấp xã nơi chuyển đến kiểm tra việc tiếp tục đáp ứng các điều kiện tại khoản 1 Điều 13 và quyết định hỗ trợ từ tháng thôi chi trả tại nơi chuyển đi; trường hợp không đủ điều kiện thì trả lời bằng văn bản, nêu rõ lý do. Việc chuyển hồ sơ, xử lý chế độ thực hiện tương ứng khoản 3 Điều 8 Nghị định số 335/2026/NĐ-CP, không yêu cầu lập lại hồ sơ đã có và không chi trả trùng thời gian.</w:t>
      </w:r>
    </w:p>
    <w:p w14:paraId="06355A54">
      <w:pPr>
        <w:keepNext/>
        <w:spacing w:before="80" w:after="60" w:line="254" w:lineRule="auto"/>
        <w:ind w:firstLine="567"/>
        <w:rPr>
          <w:rFonts w:cs="Times New Roman"/>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10. Tiếp nhận, chăm sóc, nuôi dưỡng đối tượng quy định tại Điều 14</w:t>
      </w:r>
    </w:p>
    <w:p w14:paraId="36E1D567">
      <w:pPr>
        <w:keepNext/>
        <w:spacing w:before="80" w:after="60" w:line="254" w:lineRule="auto"/>
        <w:ind w:firstLine="567"/>
        <w:rPr>
          <w:rFonts w:cs="Times New Roman"/>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10.1. Thành phần hồ sơ</w:t>
      </w:r>
    </w:p>
    <w:p w14:paraId="08984BCD">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Tờ khai đề nghị tiếp nhận, chăm sóc, nuôi dưỡng theo Mẫu số 04 Phụ lục III ban hành kèm theo Nghị quyết này.</w:t>
      </w:r>
    </w:p>
    <w:p w14:paraId="3A120749">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Đối với trẻ em quy định tại điểm a khoản 1 Điều 14: Thông tin hộ tịch hoặc giấy khai sinh, trích lục khai sinh; thông tin khai tử, trích lục khai tử, giấy chứng tử của cha hoặc mẹ đã chết hoặc quyết định có hiệu lực pháp luật của Tòa án tuyên bố cha hoặc mẹ đã chết. Việc xác định trẻ là thành viên hộ nghèo không có khả năng lao động thực hiện trên cơ sở kết quả rà soát, phân loại hộ nghèo được cơ quan có thẩm quyền công nhận.</w:t>
      </w:r>
    </w:p>
    <w:p w14:paraId="3BE20E1E">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 Đối với điều kiện chăm sóc trẻ quy định tại khoản 2 Điều 14: Trường hợp cha hoặc mẹ còn lại hoặc người đang trực tiếp chăm sóc trẻ không có khả năng chăm sóc do bệnh hiểm nghèo, sử dụng tài liệu khám bệnh, chữa bệnh hợp pháp thể hiện tình trạng bệnh tương ứng Phụ lục IV; trường hợp người đang trực tiếp chăm sóc là người khuyết tật nặng hoặc đặc biệt nặng, sử dụng giấy xác nhận khuyết tật hoặc thông tin xác thực tương ứng. Đối với trường hợp tuổi cao, sức khỏe suy giảm, sử dụng tài liệu sức khỏe hiện có (nếu có), kết hợp đánh giá thực tế khả năng đáp ứng nhu cầu chăm sóc thiết yếu và bảo đảm an toàn cho trẻ. Việc cha hoặc mẹ còn lại không thực hiện trách nhiệm chăm sóc, nuôi dưỡng và việc chưa bố trí được chăm sóc thay thế do Ủy ban nhân dân cấp xã xác minh, lập biên bản; không yêu cầu giấy xác nhận riêng do người dân tự đi xin.</w:t>
      </w:r>
    </w:p>
    <w:p w14:paraId="0F2E4E8E">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d) Đối với người khuyết tật thần kinh, tâm thần mức độ đặc biệt nặng quy định tại điểm b khoản 1 Điều 14: Giấy xác nhận khuyết tật hoặc thông tin xác thực về dạng, mức độ khuyết tật; thông tin hộ nghèo hoặc hộ cận nghèo; nhu cầu, nguyện vọng được chăm sóc, nuôi dưỡng thường xuyên tại Bệnh viện Sức khỏe tâm thần Hà Tĩnh. Tài liệu về tình trạng sức khỏe, nhu cầu chăm sóc chuyên môn được Bệnh viện khai thác hoặc đánh giá theo chức năng khi xem xét tiếp nhận.</w:t>
      </w:r>
    </w:p>
    <w:p w14:paraId="00893B9A">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 xml:space="preserve">Các tài liệu tại điểm b, c và d mục này chỉ yêu cầu người đề nghị cung cấp khi thông tin tương ứng chưa được khai thác, xác thực hợp lệ từ cơ sở dữ liệu hoặc hồ sơ quản lý. Văn bản đề nghị tiếp nhận của Chủ tịch Ủy ban nhân dân cấp xã, kết quả đối chiếu dữ liệu, biên bản xác minh điều kiện và đánh giá phương án chăm sóc thay thế là tài liệu do cơ quan giải quyết lập, không phải giấy tờ người dân phải nộp. </w:t>
      </w:r>
    </w:p>
    <w:p w14:paraId="73D9B156">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 xml:space="preserve">10.2. Số lượng hồ sơ: </w:t>
      </w:r>
      <w:r>
        <w:rPr>
          <w:rFonts w:cs="Times New Roman"/>
          <w:color w:val="000000" w:themeColor="text1"/>
          <w:szCs w:val="28"/>
          <w:lang w:val="vi-VN"/>
          <w14:textFill>
            <w14:solidFill>
              <w14:schemeClr w14:val="tx1"/>
            </w14:solidFill>
          </w14:textFill>
        </w:rPr>
        <w:t>01 bộ.</w:t>
      </w:r>
    </w:p>
    <w:p w14:paraId="3D9020AE">
      <w:pPr>
        <w:keepNext/>
        <w:spacing w:before="80" w:after="60" w:line="254" w:lineRule="auto"/>
        <w:ind w:firstLine="567"/>
        <w:rPr>
          <w:rFonts w:cs="Times New Roman"/>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10.3. Trình tự, thời hạn giải quyết</w:t>
      </w:r>
    </w:p>
    <w:p w14:paraId="605ED68D">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Trình tự tiếp nhận đối với đối tượng quy định tại Điều 14 được vận dụng tương ứng các bước tại khoản 2 Điều 24 Nghị định số 335/2026/NĐ-CP; đối tượng, điều kiện hưởng và kinh phí thực hiện xác định theo Điều 14 Nghị quyết này.</w:t>
      </w:r>
    </w:p>
    <w:p w14:paraId="168DB1C2">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Nộp, tiếp nhận hồ sơ: Đối tượng, người giám hộ, người đại diện hợp pháp hoặc nhân viên công tác xã hội hỗ trợ người có nhu cầu nộp 01 bộ hồ sơ trực tuyến qua Cổng Dịch vụ công quốc gia, qua dịch vụ bưu chính hoặc trực tiếp tại Bộ phận Một cửa theo quy định. Hồ sơ được chuyển đến Ủy ban nhân dân cấp xã nơi đối tượng đăng ký thường trú để xem xét.</w:t>
      </w:r>
    </w:p>
    <w:p w14:paraId="00188E49">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Kiểm tra, xác minh và đề nghị tiếp nhận: Trong thời hạn 03 ngày làm việc kể từ ngày nhận được hồ sơ theo quy định, Chủ tịch Ủy ban nhân dân cấp xã xác thực dữ liệu, xem xét điều kiện tương ứng với từng nhóm đối tượng tại khoản 1 và khoản 2 Điều 14, lập văn bản đề nghị kèm hồ sơ và kết quả xác minh gửi cơ sở trợ giúp xã hội công lập phù hợp hoặc Bệnh viện Sức khỏe tâm thần Hà Tĩnh. Trường hợp không đủ điều kiện thì trả lời bằng văn bản, nêu rõ lý do.</w:t>
      </w:r>
    </w:p>
    <w:p w14:paraId="3C9C644A">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Đối với trẻ em tại điểm a khoản 1 Điều 14, Ủy ban nhân dân cấp xã xác minh đầy đủ các nội dung: (i) tuổi, tình trạng mồ côi cha hoặc mẹ, kết quả công nhận trẻ là thành viên hộ nghèo không có khả năng lao động và việc chưa thuộc khoản 1 Điều 21 Nghị định số 335/2026/NĐ-CP; (ii) tình trạng thực tế cha hoặc mẹ còn lại không có khả năng hoặc không thực hiện trách nhiệm chăm sóc, nuôi dưỡng, làm cho trẻ không được bảo đảm chăm sóc; (iii) tình trạng sức khỏe, mức độ khuyết tật hoặc tuổi cao, sức khỏe suy giảm của người đang trực tiếp chăm sóc và ảnh hưởng thực tế đến khả năng bảo đảm nhu cầu thiết yếu, an toàn cho trẻ; (iv) các phương án chăm sóc thay thế tại gia đình, cộng đồng đã xem xét và lý do chưa bố trí được cá nhân, gia đình phù hợp.</w:t>
      </w:r>
    </w:p>
    <w:p w14:paraId="61495628">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Việc xác minh hoàn cảnh chăm sóc trẻ được thực hiện thông qua thông tin cư trú, hộ tịch, hồ sơ quản lý trẻ em, hồ sơ y tế hoặc khuyết tật hợp pháp; làm việc với cha hoặc mẹ còn lại, người đang trực tiếp chăm sóc, người thân và đại diện thôn, tổ dân phố khi cần thiết; ghi nhận ý kiến của trẻ phù hợp độ tuổi và mức độ trưởng thành. Biên bản xác minh phải thể hiện thực tế chăm sóc, khả năng thực hiện trách nhiệm của cha hoặc mẹ còn lại, nhu cầu thiết yếu và mức độ an toàn của trẻ; không chỉ căn cứ vào tình trạng không liên lạc hoặc lời khai đơn lẻ.</w:t>
      </w:r>
    </w:p>
    <w:p w14:paraId="3DFA478F">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Đối với người quy định tại điểm b khoản 1 Điều 14, Ủy ban nhân dân cấp xã đối chiếu giấy xác nhận khuyết tật về dạng thần kinh, tâm thần và mức độ đặc biệt nặng, kết quả công nhận hộ nghèo hoặc hộ cận nghèo, đồng thời ghi nhận nhu cầu, nguyện vọng chăm sóc, nuôi dưỡng thường xuyên. Kết quả xác minh các điều kiện chưa thể xác định qua dữ liệu được lập thành biên bản, lưu hồ sơ và gửi kèm văn bản đề nghị; không yêu cầu người dân xin xác nhận riêng.</w:t>
      </w:r>
    </w:p>
    <w:p w14:paraId="6E5E9D88">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 Xem xét, quyết định tiếp nhận: Trong thời hạn 02 ngày làm việc kể từ ngày nhận được văn bản đề nghị và hồ sơ hợp lệ của Chủ tịch Ủy ban nhân dân cấp xã, người đứng đầu cơ sở trợ giúp xã hội công lập xem xét, quyết định tiếp nhận trẻ em theo điểm a khoản 1 Điều 14 trên cơ sở chức năng, nhiệm vụ và khả năng cung cấp dịch vụ của cơ sở.</w:t>
      </w:r>
    </w:p>
    <w:p w14:paraId="7E7C69C0">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Giám đốc Bệnh viện Sức khỏe tâm thần Hà Tĩnh xem xét hồ sơ, điều kiện về chuyên môn, khả năng tiếp nhận và nguyện vọng chăm sóc, nuôi dưỡng thường xuyên của người khuyết tật quy định tại điểm b khoản 1 Điều 14; quyết định tiếp nhận theo chức năng, nhiệm vụ và thẩm quyền được cấp có thẩm quyền giao.</w:t>
      </w:r>
    </w:p>
    <w:p w14:paraId="030378A3">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Trường hợp cơ sở trợ giúp xã hội hoặc Bệnh viện không tiếp nhận, người đứng đầu đơn vị trả lời bằng văn bản, nêu rõ lý do, gửi Ủy ban nhân dân cấp xã và người đề nghị biết để phối hợp xem xét biện pháp trợ giúp phù hợp.</w:t>
      </w:r>
    </w:p>
    <w:p w14:paraId="234AE391">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d) Bàn giao, lập hồ sơ chăm sóc: Căn cứ quyết định tiếp nhận, đơn vị tiếp nhận phối hợp với Ủy ban nhân dân cấp xã, người giám hộ hoặc người đại diện hợp pháp tổ chức bàn giao an toàn; lập biên bản bàn giao, tiếp nhận; thiết lập hồ sơ sức khỏe, đánh giá nhu cầu và kế hoạch chăm sóc, nuôi dưỡng. Đối với Bệnh viện Sức khỏe tâm thần Hà Tĩnh, việc chăm sóc, nuôi dưỡng thường xuyên thực hiện theo chức năng được giao, tách bạch với hoạt động khám bệnh, chữa bệnh và thanh toán bảo hiểm y tế.</w:t>
      </w:r>
    </w:p>
    <w:p w14:paraId="51299AAB">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đ) Tổ chức thực hiện và quản lý chế độ: Cơ sở tiếp nhận thông báo quyết định và thời điểm tiếp nhận thực tế cho Ủy ban nhân dân cấp xã để rà soát, xử lý các khoản hỗ trợ tại cộng đồng không còn đủ điều kiện hưởng, tránh chi trùng cùng nội dung, thời gian. Đơn vị tiếp nhận quản lý hồ sơ, danh sách, thời gian thực tế chăm sóc và thực hiện các khoản kinh phí quy định tại khoản 3 Điều 14 trong phạm vi dự toán, giá và định mức được cấp có thẩm quyền phê duyệt; không thanh toán trùng nguồn.</w:t>
      </w:r>
    </w:p>
    <w:p w14:paraId="0A94136C">
      <w:pPr>
        <w:spacing w:after="40" w:line="254" w:lineRule="auto"/>
        <w:ind w:firstLine="369"/>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e) Dừng chăm sóc, nuôi dưỡng, bàn giao về cộng đồng: Người đứng đầu cơ sở trợ giúp xã hội công lập xem xét, quyết định dừng chăm sóc, nuôi dưỡng theo Điều 26 Nghị định số 335/2026/NĐ-CP. Đối với Bệnh viện Sức khỏe tâm thần Hà Tĩnh, Giám đốc Bệnh viện quyết định theo chức năng, nhiệm vụ và thẩm quyền được giao, căn cứ điều kiện thực tế, nhu cầu chăm sóc và các trường hợp có liên quan quy định tại Điều 26 Nghị định số 335/2026/NĐ-CP. Việc bàn giao, chuyển hình thức chăm sóc được phối hợp với Ủy ban nhân dân cấp xã, gia đình hoặc người đại diện để bảo đảm an toàn và quyền lợi của đối tượng.</w:t>
      </w:r>
    </w:p>
    <w:p w14:paraId="3A2A3BE2">
      <w:pPr>
        <w:spacing w:before="120" w:line="240" w:lineRule="auto"/>
        <w:ind w:firstLine="720"/>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11. Đối với chính sách hỗ trợ phần chênh lệch chi phí chăm sóc, nuôi dưỡng tại Điều 15</w:t>
      </w:r>
    </w:p>
    <w:p w14:paraId="4F566D0B">
      <w:pPr>
        <w:spacing w:before="120" w:line="240" w:lineRule="auto"/>
        <w:ind w:firstLine="720"/>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11.1. Quy trình thực hiện</w:t>
      </w:r>
    </w:p>
    <w:p w14:paraId="10C8F1A5">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a) Hằng năm, vào thời điểm lập dự toán ngân sách nhà nước, cơ sở trợ giúp xã hội chủ trì phối hợp với Ủy ban nhân dân cấp xã nơi đối tượng đăng ký thường trú rà soát, xác định đối tượng đủ điều kiện hưởng chính sách; dự kiến số đối tượng tăng, giảm và nhu cầu kinh phí hỗ trợ trong năm kế hoạch.</w:t>
      </w:r>
    </w:p>
    <w:p w14:paraId="0C22E45B">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b) Căn cứ kết quả rà soát, cơ sở lập danh sách đối tượng và dự toán kinh phí đề nghị hỗ trợ, gửi Sở Y tế kiểm tra, tổng hợp. Sở Y tế gửi Sở Tài chính xem xét, tham mưu Ủy ban nhân dân tỉnh quyết định hỗ trợ và bố trí kinh phí theo thẩm quyền. Đối với cơ sở thuộc Sở Nội vụ, hồ sơ được cơ quan quản lý trực tiếp kiểm tra trước khi gửi Sở Y tế.</w:t>
      </w:r>
    </w:p>
    <w:p w14:paraId="0D1252BF">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 Căn cứ quyết định hỗ trợ và dự toán được giao, cơ sở sử dụng kinh phí để bảo đảm tiền ăn, nhu yếu phẩm, điện, nước và các chi phí chăm sóc, sinh hoạt khác thuộc phạm vi được hỗ trợ. Việc thanh toán căn cứ số đối tượng, thời gian chăm sóc thực tế, nội dung, mức chi được phê duyệt và hồ sơ, chứng từ hợp pháp; không thanh toán trùng khoản chi đã được nguồn khác bảo đảm.</w:t>
      </w:r>
    </w:p>
    <w:p w14:paraId="669A6AFE">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d) Cơ sở theo dõi riêng kinh phí hỗ trợ đối với từng đối tượng; thực hiện hạch toán, thanh toán, quyết toán theo quy định của pháp luật về ngân sách nhà nước và kế toán. Khi có thay đổi về đối tượng, thu nhập, mức đóng góp, chi phí chăm sóc hoặc nguồn kinh phí bảo đảm, cơ sở kịp thời rà soát, báo cáo cơ quan quản lý trực tiếp và Sở Y tế để kiểm tra, tổng hợp, gửi Sở Tài chính tham mưu cấp có thẩm quyền điều chỉnh theo quy định.</w:t>
      </w:r>
    </w:p>
    <w:p w14:paraId="1AA9B00C">
      <w:pPr>
        <w:spacing w:before="120" w:line="240" w:lineRule="auto"/>
        <w:ind w:firstLine="720"/>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12. Đối với đối tượng cần bảo vệ khẩn cấp tại Điều 16</w:t>
      </w:r>
    </w:p>
    <w:p w14:paraId="26D49E0D">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12.1. Quy trình thực hiện</w:t>
      </w:r>
    </w:p>
    <w:p w14:paraId="04D6A524">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Ủy ban nhân dân cấp xã, cơ quan, đơn vị phát hiện đối tượng tổ chức cứu giúp, bảo đảm an toàn ban đầu theo thẩm quyền; báo cáo, đề xuất Chủ tịch Ủy ban nhân dân tỉnh qua Sở Y tế đối với trường hợp thuộc phạm vi phân cấp. Việc tiếp nhận, chế độ, thời gian, hoàn thiện hồ sơ thực hiện theo Nghị định số 335/2026/NĐ-CP và pháp luật liên quan.</w:t>
      </w:r>
    </w:p>
    <w:p w14:paraId="154C47B2">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12.2. Thành phần hồ sơ</w:t>
      </w:r>
    </w:p>
    <w:p w14:paraId="2D7273F7">
      <w:pPr>
        <w:spacing w:before="120" w:line="240" w:lineRule="auto"/>
        <w:ind w:firstLine="720"/>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Hồ sơ ghi nhận tình huống phát sinh, mức độ nguy cơ, nhu cầu bảo vệ, khả năng chăm sóc và đề xuất biện pháp xử lý; được hoàn thiện theo quy trình bảo vệ khẩn cấp, không làm chậm việc cứu giúp, cấp cứu hoặc bảo đảm an toàn ban đầu cho đối tượng.</w:t>
      </w:r>
    </w:p>
    <w:p w14:paraId="15BAE31C">
      <w:pPr>
        <w:spacing w:before="120" w:line="240" w:lineRule="auto"/>
        <w:ind w:firstLine="720"/>
        <w:rPr>
          <w:b/>
          <w:color w:val="000000" w:themeColor="text1"/>
          <w:lang w:val="vi-VN"/>
          <w14:textFill>
            <w14:solidFill>
              <w14:schemeClr w14:val="tx1"/>
            </w14:solidFill>
          </w14:textFill>
        </w:rPr>
      </w:pPr>
    </w:p>
    <w:p w14:paraId="53B69DBB">
      <w:pPr>
        <w:spacing w:before="240"/>
        <w:jc w:val="center"/>
        <w:rPr>
          <w:b/>
          <w:color w:val="000000" w:themeColor="text1"/>
          <w:lang w:val="vi-VN"/>
          <w14:textFill>
            <w14:solidFill>
              <w14:schemeClr w14:val="tx1"/>
            </w14:solidFill>
          </w14:textFill>
        </w:rPr>
      </w:pPr>
    </w:p>
    <w:p w14:paraId="402D92B9">
      <w:pPr>
        <w:spacing w:before="240"/>
        <w:jc w:val="center"/>
        <w:rPr>
          <w:b/>
          <w:color w:val="000000" w:themeColor="text1"/>
          <w:lang w:val="vi-VN"/>
          <w14:textFill>
            <w14:solidFill>
              <w14:schemeClr w14:val="tx1"/>
            </w14:solidFill>
          </w14:textFill>
        </w:rPr>
      </w:pPr>
    </w:p>
    <w:p w14:paraId="07E4C54B">
      <w:pPr>
        <w:spacing w:before="240"/>
        <w:jc w:val="center"/>
        <w:rPr>
          <w:b/>
          <w:color w:val="000000" w:themeColor="text1"/>
          <w:lang w:val="vi-VN"/>
          <w14:textFill>
            <w14:solidFill>
              <w14:schemeClr w14:val="tx1"/>
            </w14:solidFill>
          </w14:textFill>
        </w:rPr>
      </w:pPr>
    </w:p>
    <w:p w14:paraId="426F2FBA">
      <w:pPr>
        <w:spacing w:before="240"/>
        <w:jc w:val="center"/>
        <w:rPr>
          <w:b/>
          <w:color w:val="000000" w:themeColor="text1"/>
          <w:lang w:val="vi-VN"/>
          <w14:textFill>
            <w14:solidFill>
              <w14:schemeClr w14:val="tx1"/>
            </w14:solidFill>
          </w14:textFill>
        </w:rPr>
      </w:pPr>
    </w:p>
    <w:p w14:paraId="4B31C19B">
      <w:pPr>
        <w:spacing w:before="240"/>
        <w:jc w:val="center"/>
        <w:rPr>
          <w:b/>
          <w:color w:val="000000" w:themeColor="text1"/>
          <w:lang w:val="vi-VN"/>
          <w14:textFill>
            <w14:solidFill>
              <w14:schemeClr w14:val="tx1"/>
            </w14:solidFill>
          </w14:textFill>
        </w:rPr>
      </w:pPr>
    </w:p>
    <w:p w14:paraId="3A34F39D">
      <w:pPr>
        <w:spacing w:before="240"/>
        <w:jc w:val="center"/>
        <w:rPr>
          <w:b/>
          <w:color w:val="000000" w:themeColor="text1"/>
          <w:lang w:val="vi-VN"/>
          <w14:textFill>
            <w14:solidFill>
              <w14:schemeClr w14:val="tx1"/>
            </w14:solidFill>
          </w14:textFill>
        </w:rPr>
      </w:pPr>
    </w:p>
    <w:p w14:paraId="6AA1E4D7">
      <w:pPr>
        <w:spacing w:before="240"/>
        <w:jc w:val="center"/>
        <w:rPr>
          <w:b/>
          <w:color w:val="000000" w:themeColor="text1"/>
          <w:lang w:val="vi-VN"/>
          <w14:textFill>
            <w14:solidFill>
              <w14:schemeClr w14:val="tx1"/>
            </w14:solidFill>
          </w14:textFill>
        </w:rPr>
      </w:pPr>
    </w:p>
    <w:p w14:paraId="66C9E7E9">
      <w:pPr>
        <w:spacing w:before="240"/>
        <w:jc w:val="center"/>
        <w:rPr>
          <w:b/>
          <w:color w:val="000000" w:themeColor="text1"/>
          <w:lang w:val="vi-VN"/>
          <w14:textFill>
            <w14:solidFill>
              <w14:schemeClr w14:val="tx1"/>
            </w14:solidFill>
          </w14:textFill>
        </w:rPr>
      </w:pPr>
    </w:p>
    <w:p w14:paraId="766BF7DD">
      <w:pPr>
        <w:spacing w:before="240"/>
        <w:jc w:val="center"/>
        <w:rPr>
          <w:b/>
          <w:color w:val="000000" w:themeColor="text1"/>
          <w:lang w:val="vi-VN"/>
          <w14:textFill>
            <w14:solidFill>
              <w14:schemeClr w14:val="tx1"/>
            </w14:solidFill>
          </w14:textFill>
        </w:rPr>
      </w:pPr>
    </w:p>
    <w:p w14:paraId="715DE512">
      <w:pPr>
        <w:pageBreakBefore/>
        <w:spacing w:after="0" w:line="240" w:lineRule="auto"/>
        <w:jc w:val="center"/>
        <w:rPr>
          <w:b/>
          <w:color w:val="000000" w:themeColor="text1"/>
          <w:lang w:val="vi-VN"/>
          <w14:textFill>
            <w14:solidFill>
              <w14:schemeClr w14:val="tx1"/>
            </w14:solidFill>
          </w14:textFill>
        </w:rPr>
      </w:pPr>
      <w:r>
        <w:rPr>
          <w:b/>
          <w:color w:val="000000" w:themeColor="text1"/>
          <w:lang w:val="vi-VN"/>
          <w14:textFill>
            <w14:solidFill>
              <w14:schemeClr w14:val="tx1"/>
            </w14:solidFill>
          </w14:textFill>
        </w:rPr>
        <w:t>Phụ lục III</w:t>
      </w:r>
    </w:p>
    <w:p w14:paraId="2E310210">
      <w:pPr>
        <w:spacing w:after="0" w:line="240" w:lineRule="auto"/>
        <w:jc w:val="center"/>
        <w:rPr>
          <w:b/>
          <w:color w:val="000000" w:themeColor="text1"/>
          <w:lang w:val="vi-VN"/>
          <w14:textFill>
            <w14:solidFill>
              <w14:schemeClr w14:val="tx1"/>
            </w14:solidFill>
          </w14:textFill>
        </w:rPr>
      </w:pPr>
      <w:r>
        <w:rPr>
          <w:b/>
          <w:color w:val="000000" w:themeColor="text1"/>
          <w:lang w:val="vi-VN"/>
          <w14:textFill>
            <w14:solidFill>
              <w14:schemeClr w14:val="tx1"/>
            </w14:solidFill>
          </w14:textFill>
        </w:rPr>
        <w:t>BIỂU MẪU THỰC HIỆN CHÍNH SÁCH</w:t>
      </w:r>
    </w:p>
    <w:p w14:paraId="4BB7F047">
      <w:pPr>
        <w:jc w:val="center"/>
        <w:rPr>
          <w:color w:val="000000" w:themeColor="text1"/>
          <w:lang w:val="vi-VN"/>
          <w14:textFill>
            <w14:solidFill>
              <w14:schemeClr w14:val="tx1"/>
            </w14:solidFill>
          </w14:textFill>
        </w:rPr>
      </w:pPr>
      <w:r>
        <w:rPr>
          <w:i/>
          <w:color w:val="000000" w:themeColor="text1"/>
          <w:lang w:val="vi-VN"/>
          <w14:textFill>
            <w14:solidFill>
              <w14:schemeClr w14:val="tx1"/>
            </w14:solidFill>
          </w14:textFill>
        </w:rPr>
        <w:t>(Kèm theo Nghị quyết số      /2026/NQ-HĐND ngày      tháng      năm 2026 của Hội đồng nhân dân tỉnh Hà Tĩnh)</w:t>
      </w:r>
    </w:p>
    <w:p w14:paraId="70BB8AD9">
      <w:pPr>
        <w:jc w:val="right"/>
        <w:rPr>
          <w:color w:val="000000" w:themeColor="text1"/>
          <w:lang w:val="vi-VN"/>
          <w14:textFill>
            <w14:solidFill>
              <w14:schemeClr w14:val="tx1"/>
            </w14:solidFill>
          </w14:textFill>
        </w:rPr>
      </w:pPr>
      <w:r>
        <w:rPr>
          <w:i/>
          <w:color w:val="000000" w:themeColor="text1"/>
          <w:lang w:val="vi-VN"/>
          <w14:textFill>
            <w14:solidFill>
              <w14:schemeClr w14:val="tx1"/>
            </w14:solidFill>
          </w14:textFill>
        </w:rPr>
        <w:t>Mẫu số 01</w:t>
      </w:r>
    </w:p>
    <w:p w14:paraId="3D12022C">
      <w:pPr>
        <w:spacing w:after="0" w:line="240" w:lineRule="auto"/>
        <w:jc w:val="center"/>
        <w:rPr>
          <w:color w:val="000000" w:themeColor="text1"/>
          <w:lang w:val="vi-VN"/>
          <w14:textFill>
            <w14:solidFill>
              <w14:schemeClr w14:val="tx1"/>
            </w14:solidFill>
          </w14:textFill>
        </w:rPr>
      </w:pPr>
      <w:r>
        <w:rPr>
          <w:b/>
          <w:color w:val="000000" w:themeColor="text1"/>
          <w:lang w:val="vi-VN"/>
          <w14:textFill>
            <w14:solidFill>
              <w14:schemeClr w14:val="tx1"/>
            </w14:solidFill>
          </w14:textFill>
        </w:rPr>
        <w:t>CỘNG HÒA XÃ HỘI CHỦ NGHĨA VIỆT NAM</w:t>
      </w:r>
    </w:p>
    <w:p w14:paraId="32E3148F">
      <w:pPr>
        <w:spacing w:after="0" w:line="240" w:lineRule="auto"/>
        <w:jc w:val="center"/>
        <w:rPr>
          <w:b/>
          <w:color w:val="000000" w:themeColor="text1"/>
          <w14:textFill>
            <w14:solidFill>
              <w14:schemeClr w14:val="tx1"/>
            </w14:solidFill>
          </w14:textFill>
        </w:rPr>
      </w:pPr>
      <w:r>
        <w:rPr>
          <w:b/>
          <w:color w:val="000000" w:themeColor="text1"/>
          <w14:textFill>
            <w14:solidFill>
              <w14:schemeClr w14:val="tx1"/>
            </w14:solidFill>
          </w14:textFill>
        </w:rPr>
        <w:t>Độc lập - Tự do - Hạnh phúc</w:t>
      </w:r>
    </w:p>
    <w:p w14:paraId="08767DA0">
      <w:pPr>
        <w:spacing w:after="0" w:line="240" w:lineRule="auto"/>
        <w:jc w:val="center"/>
        <w:rPr>
          <w:color w:val="000000" w:themeColor="text1"/>
          <w14:textFill>
            <w14:solidFill>
              <w14:schemeClr w14:val="tx1"/>
            </w14:solidFill>
          </w14:textFill>
        </w:rPr>
      </w:pPr>
    </w:p>
    <w:p w14:paraId="0DAA5BD9">
      <w:pPr>
        <w:spacing w:after="0" w:line="240" w:lineRule="auto"/>
        <w:jc w:val="center"/>
        <w:rPr>
          <w:color w:val="000000" w:themeColor="text1"/>
          <w14:textFill>
            <w14:solidFill>
              <w14:schemeClr w14:val="tx1"/>
            </w14:solidFill>
          </w14:textFill>
        </w:rPr>
      </w:pPr>
      <w:r>
        <w:rPr>
          <w:color w:val="000000" w:themeColor="text1"/>
          <w14:textFill>
            <w14:solidFill>
              <w14:schemeClr w14:val="tx1"/>
            </w14:solidFill>
          </w14:textFill>
        </w:rPr>
        <w:t>GIẤY ĐỀ NGHỊ HỖ TRỢ KINH PHÍ KHÁM BỆNH, CHỮA BỆNH</w:t>
      </w:r>
    </w:p>
    <w:p w14:paraId="75A772FE">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Kính gửi: ...................................................................................................</w:t>
      </w:r>
    </w:p>
    <w:p w14:paraId="235D1950">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Họ và tên người đề nghị: ...........................................................................</w:t>
      </w:r>
    </w:p>
    <w:p w14:paraId="360F5B08">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Quan hệ với người bệnh (nếu đề nghị thay): ..............................................</w:t>
      </w:r>
    </w:p>
    <w:p w14:paraId="14E8FCB9">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Họ và tên người bệnh: ...............................................................................</w:t>
      </w:r>
    </w:p>
    <w:p w14:paraId="2F4E957E">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Ngày, tháng, năm sinh: ........................ Số định danh cá nhân: ...................</w:t>
      </w:r>
    </w:p>
    <w:p w14:paraId="4A18C6FD">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Nơi thường trú: .........................................................................................</w:t>
      </w:r>
    </w:p>
    <w:p w14:paraId="6B437FBF">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Số điện thoại liên hệ (nếu có): ...................................................................</w:t>
      </w:r>
    </w:p>
    <w:p w14:paraId="6BB75ECA">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Mã số bảo hiểm y tế (nếu có): ....................................................................</w:t>
      </w:r>
    </w:p>
    <w:p w14:paraId="48219422">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Nhóm đối tượng được hỗ trợ: ...................................................................</w:t>
      </w:r>
    </w:p>
    <w:p w14:paraId="743DBD51">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Cơ sở khám bệnh, chữa bệnh: ...................................................................</w:t>
      </w:r>
    </w:p>
    <w:p w14:paraId="2AFE9D73">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Bệnh được chẩn đoán: ..............................................................................</w:t>
      </w:r>
    </w:p>
    <w:p w14:paraId="7226FB05">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Thời gian điều trị: từ ngày ........................ đến ngày ................................</w:t>
      </w:r>
    </w:p>
    <w:p w14:paraId="5CE3B833">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Tổng chi phí điều trị: .............................. đồng; quỹ bảo hiểm y tế thanh toán: ........................ đồng; người bệnh phải chi trả: ........................ đồng.</w:t>
      </w:r>
    </w:p>
    <w:p w14:paraId="52494E8C">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Đề nghị hỗ trợ theo các Điều 5, 6 và 7 Nghị quyết số ...../2026/NQ-HĐND:</w:t>
      </w:r>
    </w:p>
    <w:p w14:paraId="13F22E26">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 Tiền ăn: ............ ngày × 70.000 đồng = ........................................ đồng.</w:t>
      </w:r>
    </w:p>
    <w:p w14:paraId="4518D73F">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 Tiền đi lại: ............ km × 0,2 lít/km × ................ đồng/lít = ............ đồng.</w:t>
      </w:r>
    </w:p>
    <w:p w14:paraId="688B1CC0">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 Chi phí khám bệnh, chữa bệnh: .................................................... đồng.</w:t>
      </w:r>
    </w:p>
    <w:p w14:paraId="6433F808">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Số lần đã được hỗ trợ chi phí khám bệnh, chữa bệnh trong năm: ..............</w:t>
      </w:r>
    </w:p>
    <w:p w14:paraId="36BE35A2">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Khoản đã được nguồn khác hỗ trợ cho cùng nội dung (nếu có): ................</w:t>
      </w:r>
    </w:p>
    <w:p w14:paraId="728A505F">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Hồ sơ kèm theo: ........................................................................................</w:t>
      </w:r>
    </w:p>
    <w:p w14:paraId="7E6E014B">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Tôi cam đoan thông tin kê khai đúng sự thật, không đề nghị thanh toán trùng chi phí đã được nguồn khác bảo đảm; chịu trách nhiệm về nội dung kê khai.</w:t>
      </w:r>
    </w:p>
    <w:p w14:paraId="51291905">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 ngày ..... tháng ..... năm ........</w:t>
      </w:r>
    </w:p>
    <w:p w14:paraId="2358CE23">
      <w:pPr>
        <w:spacing w:after="0" w:line="240" w:lineRule="auto"/>
        <w:ind w:firstLine="567"/>
        <w:rPr>
          <w:color w:val="000000" w:themeColor="text1"/>
          <w14:textFill>
            <w14:solidFill>
              <w14:schemeClr w14:val="tx1"/>
            </w14:solidFill>
          </w14:textFill>
        </w:rPr>
      </w:pPr>
      <w:r>
        <w:rPr>
          <w:b/>
          <w:color w:val="000000" w:themeColor="text1"/>
          <w14:textFill>
            <w14:solidFill>
              <w14:schemeClr w14:val="tx1"/>
            </w14:solidFill>
          </w14:textFill>
        </w:rPr>
        <w:t>NGƯỜI ĐỀ NGHỊ</w:t>
      </w:r>
    </w:p>
    <w:p w14:paraId="6AAE47E4">
      <w:pPr>
        <w:spacing w:after="0" w:line="240" w:lineRule="auto"/>
        <w:ind w:firstLine="567"/>
        <w:rPr>
          <w:color w:val="000000" w:themeColor="text1"/>
          <w14:textFill>
            <w14:solidFill>
              <w14:schemeClr w14:val="tx1"/>
            </w14:solidFill>
          </w14:textFill>
        </w:rPr>
      </w:pPr>
      <w:r>
        <w:rPr>
          <w:color w:val="000000" w:themeColor="text1"/>
          <w14:textFill>
            <w14:solidFill>
              <w14:schemeClr w14:val="tx1"/>
            </w14:solidFill>
          </w14:textFill>
        </w:rPr>
        <w:t>(Ký, ghi rõ họ tên hoặc điểm chỉ)</w:t>
      </w:r>
    </w:p>
    <w:p w14:paraId="009D7EA1">
      <w:pPr>
        <w:spacing w:after="0" w:line="240" w:lineRule="auto"/>
        <w:ind w:firstLine="567"/>
        <w:rPr>
          <w:color w:val="000000" w:themeColor="text1"/>
          <w14:textFill>
            <w14:solidFill>
              <w14:schemeClr w14:val="tx1"/>
            </w14:solidFill>
          </w14:textFill>
        </w:rPr>
      </w:pPr>
      <w:r>
        <w:rPr>
          <w:i/>
          <w:color w:val="000000" w:themeColor="text1"/>
          <w14:textFill>
            <w14:solidFill>
              <w14:schemeClr w14:val="tx1"/>
            </w14:solidFill>
          </w14:textFill>
        </w:rPr>
        <w:t>Cơ sở tiếp nhận đối chiếu hồ sơ, dữ liệu để xác định điều kiện và số tiền hỗ trợ; không yêu cầu xác nhận thêm ngoài thành phần hồ sơ quy định.</w:t>
      </w:r>
    </w:p>
    <w:p w14:paraId="68A43229">
      <w:pPr>
        <w:rPr>
          <w:i/>
          <w:color w:val="000000" w:themeColor="text1"/>
          <w14:textFill>
            <w14:solidFill>
              <w14:schemeClr w14:val="tx1"/>
            </w14:solidFill>
          </w14:textFill>
        </w:rPr>
      </w:pPr>
    </w:p>
    <w:p w14:paraId="09109547">
      <w:pPr>
        <w:rPr>
          <w:i/>
          <w:color w:val="000000" w:themeColor="text1"/>
          <w14:textFill>
            <w14:solidFill>
              <w14:schemeClr w14:val="tx1"/>
            </w14:solidFill>
          </w14:textFill>
        </w:rPr>
      </w:pPr>
    </w:p>
    <w:p w14:paraId="35F05F70">
      <w:pPr>
        <w:jc w:val="right"/>
        <w:rPr>
          <w:i/>
          <w:color w:val="000000" w:themeColor="text1"/>
          <w14:textFill>
            <w14:solidFill>
              <w14:schemeClr w14:val="tx1"/>
            </w14:solidFill>
          </w14:textFill>
        </w:rPr>
      </w:pPr>
    </w:p>
    <w:p w14:paraId="7CA1D287">
      <w:pPr>
        <w:ind w:right="560"/>
        <w:rPr>
          <w:i/>
          <w:color w:val="000000" w:themeColor="text1"/>
          <w14:textFill>
            <w14:solidFill>
              <w14:schemeClr w14:val="tx1"/>
            </w14:solidFill>
          </w14:textFill>
        </w:rPr>
      </w:pPr>
    </w:p>
    <w:p w14:paraId="57C90FB6">
      <w:pPr>
        <w:jc w:val="right"/>
        <w:rPr>
          <w:b/>
          <w:color w:val="000000" w:themeColor="text1"/>
          <w14:textFill>
            <w14:solidFill>
              <w14:schemeClr w14:val="tx1"/>
            </w14:solidFill>
          </w14:textFill>
        </w:rPr>
      </w:pPr>
      <w:r>
        <w:rPr>
          <w:b/>
          <w:i/>
          <w:color w:val="000000" w:themeColor="text1"/>
          <w14:textFill>
            <w14:solidFill>
              <w14:schemeClr w14:val="tx1"/>
            </w14:solidFill>
          </w14:textFill>
        </w:rPr>
        <w:t>Mẫu số 02</w:t>
      </w:r>
    </w:p>
    <w:p w14:paraId="40A8C1B0">
      <w:pPr>
        <w:spacing w:after="0"/>
        <w:jc w:val="center"/>
        <w:rPr>
          <w:color w:val="000000" w:themeColor="text1"/>
          <w14:textFill>
            <w14:solidFill>
              <w14:schemeClr w14:val="tx1"/>
            </w14:solidFill>
          </w14:textFill>
        </w:rPr>
      </w:pPr>
      <w:r>
        <w:rPr>
          <w:b/>
          <w:color w:val="000000" w:themeColor="text1"/>
          <w14:textFill>
            <w14:solidFill>
              <w14:schemeClr w14:val="tx1"/>
            </w14:solidFill>
          </w14:textFill>
        </w:rPr>
        <w:t>CỘNG HÒA XÃ HỘI CHỦ NGHĨA VIỆT NAM</w:t>
      </w:r>
    </w:p>
    <w:p w14:paraId="785F670D">
      <w:pPr>
        <w:spacing w:after="0"/>
        <w:jc w:val="center"/>
        <w:rPr>
          <w:color w:val="000000" w:themeColor="text1"/>
          <w14:textFill>
            <w14:solidFill>
              <w14:schemeClr w14:val="tx1"/>
            </w14:solidFill>
          </w14:textFill>
        </w:rPr>
      </w:pPr>
      <w:r>
        <w:rPr>
          <w:b/>
          <w:color w:val="000000" w:themeColor="text1"/>
          <w14:textFill>
            <w14:solidFill>
              <w14:schemeClr w14:val="tx1"/>
            </w14:solidFill>
          </w14:textFill>
        </w:rPr>
        <w:t>Độc lập - Tự do - Hạnh phúc</w:t>
      </w:r>
    </w:p>
    <w:p w14:paraId="5413A1DE">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GIẤY ĐỀ NGHỊ HỖ TRỢ BẢO HIỂM Y TẾ VÀ CHI PHÍ THUỐC ARV</w:t>
      </w:r>
    </w:p>
    <w:p w14:paraId="6EE0B9CD">
      <w:pPr>
        <w:spacing w:after="0"/>
        <w:rPr>
          <w:color w:val="000000" w:themeColor="text1"/>
          <w14:textFill>
            <w14:solidFill>
              <w14:schemeClr w14:val="tx1"/>
            </w14:solidFill>
          </w14:textFill>
        </w:rPr>
      </w:pPr>
      <w:r>
        <w:rPr>
          <w:color w:val="000000" w:themeColor="text1"/>
          <w14:textFill>
            <w14:solidFill>
              <w14:schemeClr w14:val="tx1"/>
            </w14:solidFill>
          </w14:textFill>
        </w:rPr>
        <w:t>Kính gửi: ...................................................................................................</w:t>
      </w:r>
    </w:p>
    <w:p w14:paraId="764EADC0">
      <w:pPr>
        <w:spacing w:after="0"/>
        <w:rPr>
          <w:color w:val="000000" w:themeColor="text1"/>
          <w14:textFill>
            <w14:solidFill>
              <w14:schemeClr w14:val="tx1"/>
            </w14:solidFill>
          </w14:textFill>
        </w:rPr>
      </w:pPr>
      <w:r>
        <w:rPr>
          <w:color w:val="000000" w:themeColor="text1"/>
          <w14:textFill>
            <w14:solidFill>
              <w14:schemeClr w14:val="tx1"/>
            </w14:solidFill>
          </w14:textFill>
        </w:rPr>
        <w:t>Họ và tên người đề nghị: ...........................................................................</w:t>
      </w:r>
    </w:p>
    <w:p w14:paraId="39B4BF18">
      <w:pPr>
        <w:spacing w:after="0"/>
        <w:rPr>
          <w:color w:val="000000" w:themeColor="text1"/>
          <w14:textFill>
            <w14:solidFill>
              <w14:schemeClr w14:val="tx1"/>
            </w14:solidFill>
          </w14:textFill>
        </w:rPr>
      </w:pPr>
      <w:r>
        <w:rPr>
          <w:color w:val="000000" w:themeColor="text1"/>
          <w14:textFill>
            <w14:solidFill>
              <w14:schemeClr w14:val="tx1"/>
            </w14:solidFill>
          </w14:textFill>
        </w:rPr>
        <w:t>Quan hệ với người được đề nghị hỗ trợ (nếu đề nghị thay): .......................</w:t>
      </w:r>
    </w:p>
    <w:p w14:paraId="6F8C9CA8">
      <w:pPr>
        <w:spacing w:after="0"/>
        <w:rPr>
          <w:color w:val="000000" w:themeColor="text1"/>
          <w14:textFill>
            <w14:solidFill>
              <w14:schemeClr w14:val="tx1"/>
            </w14:solidFill>
          </w14:textFill>
        </w:rPr>
      </w:pPr>
      <w:r>
        <w:rPr>
          <w:color w:val="000000" w:themeColor="text1"/>
          <w14:textFill>
            <w14:solidFill>
              <w14:schemeClr w14:val="tx1"/>
            </w14:solidFill>
          </w14:textFill>
        </w:rPr>
        <w:t>Họ và tên người được đề nghị hỗ trợ: ........................................................</w:t>
      </w:r>
    </w:p>
    <w:p w14:paraId="275C3AFA">
      <w:pPr>
        <w:spacing w:after="0"/>
        <w:rPr>
          <w:color w:val="000000" w:themeColor="text1"/>
          <w14:textFill>
            <w14:solidFill>
              <w14:schemeClr w14:val="tx1"/>
            </w14:solidFill>
          </w14:textFill>
        </w:rPr>
      </w:pPr>
      <w:r>
        <w:rPr>
          <w:color w:val="000000" w:themeColor="text1"/>
          <w14:textFill>
            <w14:solidFill>
              <w14:schemeClr w14:val="tx1"/>
            </w14:solidFill>
          </w14:textFill>
        </w:rPr>
        <w:t>Ngày, tháng, năm sinh: ........................ Số định danh cá nhân: ...................</w:t>
      </w:r>
    </w:p>
    <w:p w14:paraId="7CDFE5C9">
      <w:pPr>
        <w:spacing w:after="0"/>
        <w:rPr>
          <w:color w:val="000000" w:themeColor="text1"/>
          <w14:textFill>
            <w14:solidFill>
              <w14:schemeClr w14:val="tx1"/>
            </w14:solidFill>
          </w14:textFill>
        </w:rPr>
      </w:pPr>
      <w:r>
        <w:rPr>
          <w:color w:val="000000" w:themeColor="text1"/>
          <w14:textFill>
            <w14:solidFill>
              <w14:schemeClr w14:val="tx1"/>
            </w14:solidFill>
          </w14:textFill>
        </w:rPr>
        <w:t>Nơi thường trú: .........................................................................................</w:t>
      </w:r>
    </w:p>
    <w:p w14:paraId="101B8FFF">
      <w:pPr>
        <w:spacing w:after="0"/>
        <w:rPr>
          <w:color w:val="000000" w:themeColor="text1"/>
          <w14:textFill>
            <w14:solidFill>
              <w14:schemeClr w14:val="tx1"/>
            </w14:solidFill>
          </w14:textFill>
        </w:rPr>
      </w:pPr>
      <w:r>
        <w:rPr>
          <w:color w:val="000000" w:themeColor="text1"/>
          <w14:textFill>
            <w14:solidFill>
              <w14:schemeClr w14:val="tx1"/>
            </w14:solidFill>
          </w14:textFill>
        </w:rPr>
        <w:t>Số điện thoại liên hệ (nếu có): ...................................................................</w:t>
      </w:r>
    </w:p>
    <w:p w14:paraId="7DD36052">
      <w:pPr>
        <w:spacing w:after="0"/>
        <w:rPr>
          <w:color w:val="000000" w:themeColor="text1"/>
          <w14:textFill>
            <w14:solidFill>
              <w14:schemeClr w14:val="tx1"/>
            </w14:solidFill>
          </w14:textFill>
        </w:rPr>
      </w:pPr>
      <w:r>
        <w:rPr>
          <w:color w:val="000000" w:themeColor="text1"/>
          <w14:textFill>
            <w14:solidFill>
              <w14:schemeClr w14:val="tx1"/>
            </w14:solidFill>
          </w14:textFill>
        </w:rPr>
        <w:t>Cơ sở đang quản lý, điều trị HIV/AIDS: ....................................................</w:t>
      </w:r>
    </w:p>
    <w:p w14:paraId="1D12E317">
      <w:pPr>
        <w:spacing w:after="0"/>
        <w:rPr>
          <w:color w:val="000000" w:themeColor="text1"/>
          <w14:textFill>
            <w14:solidFill>
              <w14:schemeClr w14:val="tx1"/>
            </w14:solidFill>
          </w14:textFill>
        </w:rPr>
      </w:pPr>
      <w:r>
        <w:rPr>
          <w:color w:val="000000" w:themeColor="text1"/>
          <w14:textFill>
            <w14:solidFill>
              <w14:schemeClr w14:val="tx1"/>
            </w14:solidFill>
          </w14:textFill>
        </w:rPr>
        <w:t>Mã số bảo hiểm y tế (nếu có): ....................................................................</w:t>
      </w:r>
    </w:p>
    <w:p w14:paraId="62B5A4FE">
      <w:pPr>
        <w:spacing w:after="0"/>
        <w:rPr>
          <w:color w:val="000000" w:themeColor="text1"/>
          <w14:textFill>
            <w14:solidFill>
              <w14:schemeClr w14:val="tx1"/>
            </w14:solidFill>
          </w14:textFill>
        </w:rPr>
      </w:pPr>
      <w:r>
        <w:rPr>
          <w:color w:val="000000" w:themeColor="text1"/>
          <w14:textFill>
            <w14:solidFill>
              <w14:schemeClr w14:val="tx1"/>
            </w14:solidFill>
          </w14:textFill>
        </w:rPr>
        <w:t>Thời hạn thẻ hiện có (nếu có): từ ngày ................ đến ngày .....................</w:t>
      </w:r>
    </w:p>
    <w:p w14:paraId="25D11B95">
      <w:pPr>
        <w:spacing w:after="0"/>
        <w:rPr>
          <w:color w:val="000000" w:themeColor="text1"/>
          <w14:textFill>
            <w14:solidFill>
              <w14:schemeClr w14:val="tx1"/>
            </w14:solidFill>
          </w14:textFill>
        </w:rPr>
      </w:pPr>
      <w:r>
        <w:rPr>
          <w:color w:val="000000" w:themeColor="text1"/>
          <w14:textFill>
            <w14:solidFill>
              <w14:schemeClr w14:val="tx1"/>
            </w14:solidFill>
          </w14:textFill>
        </w:rPr>
        <w:t>Nội dung đề nghị hỗ trợ theo Điều 8 và điểm đ khoản 1 Điều 10 Nghị quyết số ...../2026/NQ-HĐND (đánh dấu vào nội dung phù hợp):</w:t>
      </w:r>
    </w:p>
    <w:p w14:paraId="5477316F">
      <w:pPr>
        <w:spacing w:after="0"/>
        <w:rPr>
          <w:color w:val="000000" w:themeColor="text1"/>
          <w14:textFill>
            <w14:solidFill>
              <w14:schemeClr w14:val="tx1"/>
            </w14:solidFill>
          </w14:textFill>
        </w:rPr>
      </w:pPr>
      <w:r>
        <w:rPr>
          <w:color w:val="000000" w:themeColor="text1"/>
          <w14:textFill>
            <w14:solidFill>
              <w14:schemeClr w14:val="tx1"/>
            </w14:solidFill>
          </w14:textFill>
        </w:rPr>
        <w:t>□ Hỗ trợ mức đóng bảo hiểm y tế; thời gian đề nghị: ................................</w:t>
      </w:r>
    </w:p>
    <w:p w14:paraId="704A7954">
      <w:pPr>
        <w:spacing w:after="0"/>
        <w:rPr>
          <w:color w:val="000000" w:themeColor="text1"/>
          <w14:textFill>
            <w14:solidFill>
              <w14:schemeClr w14:val="tx1"/>
            </w14:solidFill>
          </w14:textFill>
        </w:rPr>
      </w:pPr>
      <w:r>
        <w:rPr>
          <w:color w:val="000000" w:themeColor="text1"/>
          <w14:textFill>
            <w14:solidFill>
              <w14:schemeClr w14:val="tx1"/>
            </w14:solidFill>
          </w14:textFill>
        </w:rPr>
        <w:t>□ Hỗ trợ phần cùng chi trả thuốc ARV; thời gian điều trị: ..........................</w:t>
      </w:r>
    </w:p>
    <w:p w14:paraId="1BFD5C25">
      <w:pPr>
        <w:spacing w:after="0"/>
        <w:rPr>
          <w:color w:val="000000" w:themeColor="text1"/>
          <w14:textFill>
            <w14:solidFill>
              <w14:schemeClr w14:val="tx1"/>
            </w14:solidFill>
          </w14:textFill>
        </w:rPr>
      </w:pPr>
      <w:r>
        <w:rPr>
          <w:color w:val="000000" w:themeColor="text1"/>
          <w14:textFill>
            <w14:solidFill>
              <w14:schemeClr w14:val="tx1"/>
            </w14:solidFill>
          </w14:textFill>
        </w:rPr>
        <w:t>Phần chi phí cùng chi trả đề nghị hỗ trợ: .......................................... đồng.</w:t>
      </w:r>
    </w:p>
    <w:p w14:paraId="59F85718">
      <w:pPr>
        <w:spacing w:after="0"/>
        <w:rPr>
          <w:color w:val="000000" w:themeColor="text1"/>
          <w14:textFill>
            <w14:solidFill>
              <w14:schemeClr w14:val="tx1"/>
            </w14:solidFill>
          </w14:textFill>
        </w:rPr>
      </w:pPr>
      <w:r>
        <w:rPr>
          <w:color w:val="000000" w:themeColor="text1"/>
          <w14:textFill>
            <w14:solidFill>
              <w14:schemeClr w14:val="tx1"/>
            </w14:solidFill>
          </w14:textFill>
        </w:rPr>
        <w:t>Phần đã được nguồn khác bảo đảm (nếu có): .................................... đồng.</w:t>
      </w:r>
    </w:p>
    <w:p w14:paraId="2640004D">
      <w:pPr>
        <w:spacing w:after="0"/>
        <w:rPr>
          <w:color w:val="000000" w:themeColor="text1"/>
          <w14:textFill>
            <w14:solidFill>
              <w14:schemeClr w14:val="tx1"/>
            </w14:solidFill>
          </w14:textFill>
        </w:rPr>
      </w:pPr>
      <w:r>
        <w:rPr>
          <w:color w:val="000000" w:themeColor="text1"/>
          <w14:textFill>
            <w14:solidFill>
              <w14:schemeClr w14:val="tx1"/>
            </w14:solidFill>
          </w14:textFill>
        </w:rPr>
        <w:t>Hồ sơ kèm theo (nếu thông tin chưa có tại cơ sở): .....................................</w:t>
      </w:r>
    </w:p>
    <w:p w14:paraId="0D79E510">
      <w:pPr>
        <w:spacing w:after="0"/>
        <w:rPr>
          <w:color w:val="000000" w:themeColor="text1"/>
          <w14:textFill>
            <w14:solidFill>
              <w14:schemeClr w14:val="tx1"/>
            </w14:solidFill>
          </w14:textFill>
        </w:rPr>
      </w:pPr>
      <w:r>
        <w:rPr>
          <w:color w:val="000000" w:themeColor="text1"/>
          <w14:textFill>
            <w14:solidFill>
              <w14:schemeClr w14:val="tx1"/>
            </w14:solidFill>
          </w14:textFill>
        </w:rPr>
        <w:t>Tôi cam đoan thông tin kê khai đúng sự thật và không đề nghị hỗ trợ trùng phần mức đóng, chi phí đã được nguồn khác bảo đảm.</w:t>
      </w:r>
    </w:p>
    <w:p w14:paraId="01E28E62">
      <w:pPr>
        <w:spacing w:after="0"/>
        <w:rPr>
          <w:color w:val="000000" w:themeColor="text1"/>
          <w14:textFill>
            <w14:solidFill>
              <w14:schemeClr w14:val="tx1"/>
            </w14:solidFill>
          </w14:textFill>
        </w:rPr>
      </w:pPr>
      <w:r>
        <w:rPr>
          <w:color w:val="000000" w:themeColor="text1"/>
          <w14:textFill>
            <w14:solidFill>
              <w14:schemeClr w14:val="tx1"/>
            </w14:solidFill>
          </w14:textFill>
        </w:rPr>
        <w:t>........, ngày ..... tháng ..... năm ........</w:t>
      </w:r>
    </w:p>
    <w:p w14:paraId="75B41212">
      <w:pPr>
        <w:spacing w:after="0"/>
        <w:rPr>
          <w:color w:val="000000" w:themeColor="text1"/>
          <w14:textFill>
            <w14:solidFill>
              <w14:schemeClr w14:val="tx1"/>
            </w14:solidFill>
          </w14:textFill>
        </w:rPr>
      </w:pPr>
      <w:r>
        <w:rPr>
          <w:b/>
          <w:color w:val="000000" w:themeColor="text1"/>
          <w14:textFill>
            <w14:solidFill>
              <w14:schemeClr w14:val="tx1"/>
            </w14:solidFill>
          </w14:textFill>
        </w:rPr>
        <w:t>NGƯỜI ĐỀ NGHỊ</w:t>
      </w:r>
    </w:p>
    <w:p w14:paraId="76A62299">
      <w:pPr>
        <w:spacing w:after="0"/>
        <w:rPr>
          <w:color w:val="000000" w:themeColor="text1"/>
          <w14:textFill>
            <w14:solidFill>
              <w14:schemeClr w14:val="tx1"/>
            </w14:solidFill>
          </w14:textFill>
        </w:rPr>
      </w:pPr>
      <w:r>
        <w:rPr>
          <w:color w:val="000000" w:themeColor="text1"/>
          <w14:textFill>
            <w14:solidFill>
              <w14:schemeClr w14:val="tx1"/>
            </w14:solidFill>
          </w14:textFill>
        </w:rPr>
        <w:t>(Ký, ghi rõ họ tên hoặc điểm chỉ)</w:t>
      </w:r>
    </w:p>
    <w:p w14:paraId="3398DD05">
      <w:pPr>
        <w:rPr>
          <w:color w:val="000000" w:themeColor="text1"/>
          <w14:textFill>
            <w14:solidFill>
              <w14:schemeClr w14:val="tx1"/>
            </w14:solidFill>
          </w14:textFill>
        </w:rPr>
      </w:pPr>
      <w:r>
        <w:rPr>
          <w:i/>
          <w:color w:val="000000" w:themeColor="text1"/>
          <w14:textFill>
            <w14:solidFill>
              <w14:schemeClr w14:val="tx1"/>
            </w14:solidFill>
          </w14:textFill>
        </w:rPr>
        <w:t>Không yêu cầu người bệnh lập mẫu này nếu thông tin đã đầy đủ tại hồ sơ quản lý, hồ sơ bệnh án hoặc bệnh án điện tử; cơ sở y tế lập danh sách, xác nhận theo mục 4 Phụ lục II.</w:t>
      </w:r>
    </w:p>
    <w:p w14:paraId="482D150F">
      <w:pPr>
        <w:rPr>
          <w:i/>
          <w:color w:val="000000" w:themeColor="text1"/>
          <w14:textFill>
            <w14:solidFill>
              <w14:schemeClr w14:val="tx1"/>
            </w14:solidFill>
          </w14:textFill>
        </w:rPr>
      </w:pPr>
    </w:p>
    <w:p w14:paraId="18D73E8E">
      <w:pPr>
        <w:rPr>
          <w:i/>
          <w:color w:val="000000" w:themeColor="text1"/>
          <w14:textFill>
            <w14:solidFill>
              <w14:schemeClr w14:val="tx1"/>
            </w14:solidFill>
          </w14:textFill>
        </w:rPr>
      </w:pPr>
    </w:p>
    <w:p w14:paraId="790101D9">
      <w:pPr>
        <w:rPr>
          <w:i/>
          <w:color w:val="000000" w:themeColor="text1"/>
          <w14:textFill>
            <w14:solidFill>
              <w14:schemeClr w14:val="tx1"/>
            </w14:solidFill>
          </w14:textFill>
        </w:rPr>
      </w:pPr>
    </w:p>
    <w:p w14:paraId="2B5E4B6A">
      <w:pPr>
        <w:spacing w:after="80" w:line="254" w:lineRule="auto"/>
        <w:jc w:val="right"/>
        <w:rPr>
          <w:b/>
          <w:color w:val="000000" w:themeColor="text1"/>
          <w:sz w:val="24"/>
          <w14:textFill>
            <w14:solidFill>
              <w14:schemeClr w14:val="tx1"/>
            </w14:solidFill>
          </w14:textFill>
        </w:rPr>
      </w:pPr>
    </w:p>
    <w:p w14:paraId="2ADA4A58">
      <w:pPr>
        <w:spacing w:after="80" w:line="254" w:lineRule="auto"/>
        <w:jc w:val="right"/>
        <w:rPr>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Mẫu số 03</w:t>
      </w:r>
    </w:p>
    <w:p w14:paraId="1F516109">
      <w:pPr>
        <w:spacing w:after="20" w:line="254" w:lineRule="auto"/>
        <w:jc w:val="center"/>
        <w:rPr>
          <w:rFonts w:cs="Times New Roman"/>
          <w:color w:val="000000" w:themeColor="text1"/>
          <w:sz w:val="26"/>
          <w:szCs w:val="26"/>
          <w14:textFill>
            <w14:solidFill>
              <w14:schemeClr w14:val="tx1"/>
            </w14:solidFill>
          </w14:textFill>
        </w:rPr>
      </w:pPr>
      <w:r>
        <w:rPr>
          <w:rFonts w:cs="Times New Roman"/>
          <w:b/>
          <w:color w:val="000000" w:themeColor="text1"/>
          <w:sz w:val="26"/>
          <w:szCs w:val="26"/>
          <w14:textFill>
            <w14:solidFill>
              <w14:schemeClr w14:val="tx1"/>
            </w14:solidFill>
          </w14:textFill>
        </w:rPr>
        <w:t>CỘNG HÒA XÃ HỘI CHỦ NGHĨA VIỆT NAM</w:t>
      </w:r>
    </w:p>
    <w:p w14:paraId="37FEE35D">
      <w:pPr>
        <w:spacing w:after="0" w:line="254" w:lineRule="auto"/>
        <w:jc w:val="center"/>
        <w:rPr>
          <w:rFonts w:cs="Times New Roman"/>
          <w:color w:val="000000" w:themeColor="text1"/>
          <w:sz w:val="26"/>
          <w:szCs w:val="26"/>
          <w14:textFill>
            <w14:solidFill>
              <w14:schemeClr w14:val="tx1"/>
            </w14:solidFill>
          </w14:textFill>
        </w:rPr>
      </w:pPr>
      <w:r>
        <w:rPr>
          <w:rFonts w:cs="Times New Roman"/>
          <w:b/>
          <w:color w:val="000000" w:themeColor="text1"/>
          <w:sz w:val="26"/>
          <w:szCs w:val="26"/>
          <w14:textFill>
            <w14:solidFill>
              <w14:schemeClr w14:val="tx1"/>
            </w14:solidFill>
          </w14:textFill>
        </w:rPr>
        <w:t>Độc lập - Tự do - Hạnh phúc</w:t>
      </w:r>
    </w:p>
    <w:p w14:paraId="44A8B2D9">
      <w:pPr>
        <w:spacing w:after="80" w:line="254" w:lineRule="auto"/>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____________________</w:t>
      </w:r>
    </w:p>
    <w:p w14:paraId="211276AA">
      <w:pPr>
        <w:spacing w:after="20" w:line="254" w:lineRule="auto"/>
        <w:jc w:val="center"/>
        <w:rPr>
          <w:rFonts w:cs="Times New Roman"/>
          <w:color w:val="000000" w:themeColor="text1"/>
          <w:sz w:val="26"/>
          <w:szCs w:val="26"/>
          <w14:textFill>
            <w14:solidFill>
              <w14:schemeClr w14:val="tx1"/>
            </w14:solidFill>
          </w14:textFill>
        </w:rPr>
      </w:pPr>
      <w:r>
        <w:rPr>
          <w:rFonts w:cs="Times New Roman"/>
          <w:b/>
          <w:color w:val="000000" w:themeColor="text1"/>
          <w:sz w:val="26"/>
          <w:szCs w:val="26"/>
          <w14:textFill>
            <w14:solidFill>
              <w14:schemeClr w14:val="tx1"/>
            </w14:solidFill>
          </w14:textFill>
        </w:rPr>
        <w:t>TỜ KHAI ĐỀ NGHỊ HỖ TRỢ THU NHẬP HẰNG THÁNG</w:t>
      </w:r>
    </w:p>
    <w:p w14:paraId="137B15F1">
      <w:pPr>
        <w:spacing w:after="160" w:line="254" w:lineRule="auto"/>
        <w:jc w:val="center"/>
        <w:rPr>
          <w:rFonts w:cs="Times New Roman"/>
          <w:color w:val="000000" w:themeColor="text1"/>
          <w:sz w:val="26"/>
          <w:szCs w:val="26"/>
          <w14:textFill>
            <w14:solidFill>
              <w14:schemeClr w14:val="tx1"/>
            </w14:solidFill>
          </w14:textFill>
        </w:rPr>
      </w:pPr>
      <w:r>
        <w:rPr>
          <w:rFonts w:cs="Times New Roman"/>
          <w:i/>
          <w:color w:val="000000" w:themeColor="text1"/>
          <w:sz w:val="26"/>
          <w:szCs w:val="26"/>
          <w14:textFill>
            <w14:solidFill>
              <w14:schemeClr w14:val="tx1"/>
            </w14:solidFill>
          </w14:textFill>
        </w:rPr>
        <w:t>(Theo khoản 1 Điều 13 Nghị quyết số ....../2026/NQ-HĐND của HĐND tỉnh Hà Tĩnh)</w:t>
      </w:r>
    </w:p>
    <w:p w14:paraId="26E7B0BC">
      <w:pPr>
        <w:spacing w:line="254" w:lineRule="auto"/>
        <w:jc w:val="left"/>
        <w:rPr>
          <w:rFonts w:cs="Times New Roman"/>
          <w:color w:val="000000" w:themeColor="text1"/>
          <w:sz w:val="26"/>
          <w:szCs w:val="26"/>
          <w14:textFill>
            <w14:solidFill>
              <w14:schemeClr w14:val="tx1"/>
            </w14:solidFill>
          </w14:textFill>
        </w:rPr>
      </w:pPr>
      <w:r>
        <w:rPr>
          <w:rFonts w:cs="Times New Roman"/>
          <w:b/>
          <w:color w:val="000000" w:themeColor="text1"/>
          <w:sz w:val="26"/>
          <w:szCs w:val="26"/>
          <w14:textFill>
            <w14:solidFill>
              <w14:schemeClr w14:val="tx1"/>
            </w14:solidFill>
          </w14:textFill>
        </w:rPr>
        <w:t>Kính gửi:</w:t>
      </w:r>
      <w:r>
        <w:rPr>
          <w:rFonts w:cs="Times New Roman"/>
          <w:color w:val="000000" w:themeColor="text1"/>
          <w:sz w:val="26"/>
          <w:szCs w:val="26"/>
          <w14:textFill>
            <w14:solidFill>
              <w14:schemeClr w14:val="tx1"/>
            </w14:solidFill>
          </w14:textFill>
        </w:rPr>
        <w:t xml:space="preserve"> Chủ tịch Ủy ban nhân dân xã, phường ........................................................</w:t>
      </w:r>
    </w:p>
    <w:p w14:paraId="7FADC91B">
      <w:pPr>
        <w:keepNext/>
        <w:spacing w:after="60" w:line="254" w:lineRule="auto"/>
        <w:jc w:val="left"/>
        <w:rPr>
          <w:rFonts w:cs="Times New Roman"/>
          <w:color w:val="000000" w:themeColor="text1"/>
          <w:sz w:val="26"/>
          <w:szCs w:val="26"/>
          <w14:textFill>
            <w14:solidFill>
              <w14:schemeClr w14:val="tx1"/>
            </w14:solidFill>
          </w14:textFill>
        </w:rPr>
      </w:pPr>
      <w:r>
        <w:rPr>
          <w:rFonts w:cs="Times New Roman"/>
          <w:b/>
          <w:color w:val="000000" w:themeColor="text1"/>
          <w:sz w:val="26"/>
          <w:szCs w:val="26"/>
          <w14:textFill>
            <w14:solidFill>
              <w14:schemeClr w14:val="tx1"/>
            </w14:solidFill>
          </w14:textFill>
        </w:rPr>
        <w:t>I. THÔNG TIN CHUNG</w:t>
      </w:r>
    </w:p>
    <w:p w14:paraId="29321C85">
      <w:pPr>
        <w:spacing w:after="46" w:line="254" w:lineRule="auto"/>
        <w:jc w:val="left"/>
        <w:rPr>
          <w:rFonts w:cs="Times New Roman"/>
          <w:color w:val="000000" w:themeColor="text1"/>
          <w:sz w:val="26"/>
          <w:szCs w:val="26"/>
          <w14:textFill>
            <w14:solidFill>
              <w14:schemeClr w14:val="tx1"/>
            </w14:solidFill>
          </w14:textFill>
        </w:rPr>
      </w:pPr>
      <w:r>
        <w:rPr>
          <w:rFonts w:cs="Times New Roman"/>
          <w:b/>
          <w:color w:val="000000" w:themeColor="text1"/>
          <w:sz w:val="26"/>
          <w:szCs w:val="26"/>
          <w14:textFill>
            <w14:solidFill>
              <w14:schemeClr w14:val="tx1"/>
            </w14:solidFill>
          </w14:textFill>
        </w:rPr>
        <w:t>1. Người được đề nghị hỗ trợ</w:t>
      </w:r>
    </w:p>
    <w:p w14:paraId="5477F7C2">
      <w:pPr>
        <w:spacing w:after="46" w:line="254" w:lineRule="auto"/>
        <w:jc w:val="left"/>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Họ và tên: ..............................................................................  Giới tính: ................</w:t>
      </w:r>
    </w:p>
    <w:p w14:paraId="28E01969">
      <w:pPr>
        <w:spacing w:after="46" w:line="254" w:lineRule="auto"/>
        <w:jc w:val="left"/>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Ngày, tháng, năm sinh: ........................  Số căn cước/Số định danh cá nhân: .................</w:t>
      </w:r>
    </w:p>
    <w:p w14:paraId="4C8DDABE">
      <w:pPr>
        <w:spacing w:after="46" w:line="254" w:lineRule="auto"/>
        <w:jc w:val="left"/>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Nơi đăng ký thường trú: .....................................................................................</w:t>
      </w:r>
    </w:p>
    <w:p w14:paraId="6661C89F">
      <w:pPr>
        <w:spacing w:after="46" w:line="254" w:lineRule="auto"/>
        <w:jc w:val="left"/>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Nơi ở hiện nay (nếu khác nơi thường trú): ................................................................</w:t>
      </w:r>
    </w:p>
    <w:p w14:paraId="6629EAC4">
      <w:pPr>
        <w:spacing w:after="46" w:line="254" w:lineRule="auto"/>
        <w:jc w:val="left"/>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Họ và tên chủ hộ: .....................................................  Thuộc hộ nghèo năm: ..............</w:t>
      </w:r>
    </w:p>
    <w:p w14:paraId="34BA3B19">
      <w:pPr>
        <w:spacing w:after="46" w:line="254" w:lineRule="auto"/>
        <w:jc w:val="left"/>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Số điện thoại liên hệ (nếu có): .................................................................................................</w:t>
      </w:r>
    </w:p>
    <w:p w14:paraId="34F365CF">
      <w:pPr>
        <w:spacing w:after="46" w:line="254" w:lineRule="auto"/>
        <w:jc w:val="left"/>
        <w:rPr>
          <w:rFonts w:cs="Times New Roman"/>
          <w:color w:val="000000" w:themeColor="text1"/>
          <w:sz w:val="26"/>
          <w:szCs w:val="26"/>
          <w14:textFill>
            <w14:solidFill>
              <w14:schemeClr w14:val="tx1"/>
            </w14:solidFill>
          </w14:textFill>
        </w:rPr>
      </w:pPr>
      <w:r>
        <w:rPr>
          <w:rFonts w:cs="Times New Roman"/>
          <w:b/>
          <w:color w:val="000000" w:themeColor="text1"/>
          <w:sz w:val="26"/>
          <w:szCs w:val="26"/>
          <w14:textFill>
            <w14:solidFill>
              <w14:schemeClr w14:val="tx1"/>
            </w14:solidFill>
          </w14:textFill>
        </w:rPr>
        <w:t>2. Người kê khai (nếu không phải người được đề nghị hỗ trợ)</w:t>
      </w:r>
    </w:p>
    <w:p w14:paraId="3FDF6894">
      <w:pPr>
        <w:spacing w:after="46" w:line="254" w:lineRule="auto"/>
        <w:jc w:val="left"/>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Họ và tên: ..........................................................  Số căn cước/Số định danh: ............</w:t>
      </w:r>
    </w:p>
    <w:p w14:paraId="51ED7902">
      <w:pPr>
        <w:spacing w:after="46" w:line="254" w:lineRule="auto"/>
        <w:jc w:val="left"/>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Quan hệ với đối tượng: ......................................................  Số điện thoại: ..............</w:t>
      </w:r>
    </w:p>
    <w:p w14:paraId="5B8F964B">
      <w:pPr>
        <w:spacing w:after="46" w:line="254" w:lineRule="auto"/>
        <w:jc w:val="left"/>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Nơi cư trú: .........................................................................................................</w:t>
      </w:r>
    </w:p>
    <w:p w14:paraId="456080AB">
      <w:pPr>
        <w:spacing w:after="46" w:line="254" w:lineRule="auto"/>
        <w:jc w:val="left"/>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xml:space="preserve">Tư cách kê khai:  </w:t>
      </w: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Người giám hộ     </w:t>
      </w: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Người đại diện hợp pháp</w:t>
      </w:r>
    </w:p>
    <w:p w14:paraId="07709888">
      <w:pPr>
        <w:keepNext/>
        <w:spacing w:after="60" w:line="254" w:lineRule="auto"/>
        <w:jc w:val="left"/>
        <w:rPr>
          <w:rFonts w:cs="Times New Roman"/>
          <w:color w:val="000000" w:themeColor="text1"/>
          <w:sz w:val="26"/>
          <w:szCs w:val="26"/>
          <w14:textFill>
            <w14:solidFill>
              <w14:schemeClr w14:val="tx1"/>
            </w14:solidFill>
          </w14:textFill>
        </w:rPr>
      </w:pPr>
      <w:r>
        <w:rPr>
          <w:rFonts w:cs="Times New Roman"/>
          <w:b/>
          <w:color w:val="000000" w:themeColor="text1"/>
          <w:sz w:val="26"/>
          <w:szCs w:val="26"/>
          <w14:textFill>
            <w14:solidFill>
              <w14:schemeClr w14:val="tx1"/>
            </w14:solidFill>
          </w14:textFill>
        </w:rPr>
        <w:t>II. NHÓM ĐỐI TƯỢNG ĐỀ NGHỊ HỖ TRỢ</w:t>
      </w:r>
    </w:p>
    <w:p w14:paraId="0D38A831">
      <w:pPr>
        <w:spacing w:after="60"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Đánh dấu một trong các nhóm tại khoản 1 Điều 13 và chỉ kê khai thông tin tương ứng.</w:t>
      </w:r>
    </w:p>
    <w:p w14:paraId="4575928A">
      <w:pPr>
        <w:spacing w:after="46" w:line="254" w:lineRule="auto"/>
        <w:rPr>
          <w:rFonts w:cs="Times New Roman"/>
          <w:color w:val="000000" w:themeColor="text1"/>
          <w:sz w:val="26"/>
          <w:szCs w:val="26"/>
          <w14:textFill>
            <w14:solidFill>
              <w14:schemeClr w14:val="tx1"/>
            </w14:solidFill>
          </w14:textFill>
        </w:rPr>
      </w:pP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1. Người mắc bệnh hiểm nghèo theo điểm a khoản 1 Điều 13</w:t>
      </w:r>
    </w:p>
    <w:p w14:paraId="60A9E9C8">
      <w:pPr>
        <w:spacing w:after="46" w:line="254" w:lineRule="auto"/>
        <w:jc w:val="left"/>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Tên bệnh, chẩn đoán hoặc tình trạng bệnh (nếu biết): .........................................</w:t>
      </w:r>
    </w:p>
    <w:p w14:paraId="69EEB0A7">
      <w:pPr>
        <w:spacing w:after="46" w:line="254" w:lineRule="auto"/>
        <w:jc w:val="left"/>
        <w:rPr>
          <w:rFonts w:cs="Times New Roman"/>
          <w:color w:val="000000" w:themeColor="text1"/>
          <w:sz w:val="26"/>
          <w:szCs w:val="26"/>
          <w14:textFill>
            <w14:solidFill>
              <w14:schemeClr w14:val="tx1"/>
            </w14:solidFill>
          </w14:textFill>
        </w:rPr>
      </w:pP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2. Người từ đủ 60 tuổi đến dưới 70 tuổi theo điểm b khoản 1 Điều 13</w:t>
      </w:r>
    </w:p>
    <w:p w14:paraId="2593F2C0">
      <w:pPr>
        <w:spacing w:after="46" w:line="254" w:lineRule="auto"/>
        <w:jc w:val="left"/>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Việc đáp ứng điều kiện tuổi, hộ nghèo không có khả năng lao động do Ủy ban nhân dân cấp xã kiểm tra theo dữ liệu và hồ sơ quản lý.</w:t>
      </w:r>
    </w:p>
    <w:p w14:paraId="479DBE88">
      <w:pPr>
        <w:spacing w:after="46" w:line="254" w:lineRule="auto"/>
        <w:jc w:val="left"/>
        <w:rPr>
          <w:rFonts w:cs="Times New Roman"/>
          <w:color w:val="000000" w:themeColor="text1"/>
          <w:sz w:val="26"/>
          <w:szCs w:val="26"/>
          <w14:textFill>
            <w14:solidFill>
              <w14:schemeClr w14:val="tx1"/>
            </w14:solidFill>
          </w14:textFill>
        </w:rPr>
      </w:pP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3. Trẻ em dưới 16 tuổi mồ côi cha hoặc mẹ theo điểm c khoản 1 Điều 13</w:t>
      </w:r>
    </w:p>
    <w:p w14:paraId="39942B40">
      <w:pPr>
        <w:spacing w:after="46" w:line="254" w:lineRule="auto"/>
        <w:jc w:val="left"/>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Họ và tên cha: ................................. Họ và tên mẹ: ............................................</w:t>
      </w:r>
    </w:p>
    <w:p w14:paraId="438A4994">
      <w:pPr>
        <w:spacing w:after="46" w:line="254" w:lineRule="auto"/>
        <w:jc w:val="left"/>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Cha hoặc mẹ đã chết (ghi rõ): ................  Ngày, tháng, năm chết: ....../....../........</w:t>
      </w:r>
    </w:p>
    <w:p w14:paraId="3D47E353">
      <w:pPr>
        <w:keepNext/>
        <w:spacing w:after="60" w:line="254" w:lineRule="auto"/>
        <w:rPr>
          <w:rFonts w:cs="Times New Roman"/>
          <w:color w:val="000000" w:themeColor="text1"/>
          <w:sz w:val="26"/>
          <w:szCs w:val="26"/>
          <w14:textFill>
            <w14:solidFill>
              <w14:schemeClr w14:val="tx1"/>
            </w14:solidFill>
          </w14:textFill>
        </w:rPr>
      </w:pPr>
      <w:r>
        <w:rPr>
          <w:rFonts w:cs="Times New Roman"/>
          <w:b/>
          <w:color w:val="000000" w:themeColor="text1"/>
          <w:sz w:val="26"/>
          <w:szCs w:val="26"/>
          <w14:textFill>
            <w14:solidFill>
              <w14:schemeClr w14:val="tx1"/>
            </w14:solidFill>
          </w14:textFill>
        </w:rPr>
        <w:t>III. CHẾ ĐỘ, CHÍNH SÁCH ĐANG HƯỞNG (NẾU CÓ)</w:t>
      </w:r>
    </w:p>
    <w:p w14:paraId="7547CC0D">
      <w:pPr>
        <w:spacing w:after="46" w:line="254" w:lineRule="auto"/>
        <w:rPr>
          <w:rFonts w:cs="Times New Roman"/>
          <w:color w:val="000000" w:themeColor="text1"/>
          <w:sz w:val="26"/>
          <w:szCs w:val="26"/>
          <w14:textFill>
            <w14:solidFill>
              <w14:schemeClr w14:val="tx1"/>
            </w14:solidFill>
          </w14:textFill>
        </w:rPr>
      </w:pP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Không hưởng các khoản trợ cấp hằng tháng nêu dưới đây  </w:t>
      </w: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Đang hưởng (ghi rõ):</w:t>
      </w:r>
    </w:p>
    <w:p w14:paraId="30776865">
      <w:pPr>
        <w:spacing w:after="46" w:line="254" w:lineRule="auto"/>
        <w:rPr>
          <w:rFonts w:cs="Times New Roman"/>
          <w:color w:val="000000" w:themeColor="text1"/>
          <w:sz w:val="26"/>
          <w:szCs w:val="26"/>
          <w14:textFill>
            <w14:solidFill>
              <w14:schemeClr w14:val="tx1"/>
            </w14:solidFill>
          </w14:textFill>
        </w:rPr>
      </w:pP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Trợ cấp xã hội hằng tháng theo Nghị định số 335/2026/NĐ-CP  </w:t>
      </w: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Trợ cấp hưu trí xã hội</w:t>
      </w:r>
    </w:p>
    <w:p w14:paraId="6CCF4B60">
      <w:pPr>
        <w:spacing w:after="46" w:line="254" w:lineRule="auto"/>
        <w:rPr>
          <w:rFonts w:cs="Times New Roman"/>
          <w:color w:val="000000" w:themeColor="text1"/>
          <w:sz w:val="26"/>
          <w:szCs w:val="26"/>
          <w14:textFill>
            <w14:solidFill>
              <w14:schemeClr w14:val="tx1"/>
            </w14:solidFill>
          </w14:textFill>
        </w:rPr>
      </w:pP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Khoản trợ cấp hằng tháng khác từ ngân sách nhà nước (ghi tên khoản trợ cấp): ...........</w:t>
      </w:r>
    </w:p>
    <w:p w14:paraId="17F7C616">
      <w:pPr>
        <w:spacing w:after="46"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Mức hưởng: ........................ đồng/tháng; từ tháng: ......./........  (nếu có).</w:t>
      </w:r>
    </w:p>
    <w:p w14:paraId="5BD0F4BF">
      <w:pPr>
        <w:spacing w:after="46"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xml:space="preserve">Đang được chăm sóc, nuôi dưỡng tập trung bằng ngân sách nhà nước: </w:t>
      </w: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Không  </w:t>
      </w: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Có</w:t>
      </w:r>
    </w:p>
    <w:p w14:paraId="1F076951">
      <w:pPr>
        <w:keepNext/>
        <w:spacing w:after="60" w:line="254" w:lineRule="auto"/>
        <w:rPr>
          <w:rFonts w:cs="Times New Roman"/>
          <w:color w:val="000000" w:themeColor="text1"/>
          <w:sz w:val="26"/>
          <w:szCs w:val="26"/>
          <w14:textFill>
            <w14:solidFill>
              <w14:schemeClr w14:val="tx1"/>
            </w14:solidFill>
          </w14:textFill>
        </w:rPr>
      </w:pPr>
      <w:r>
        <w:rPr>
          <w:rFonts w:cs="Times New Roman"/>
          <w:b/>
          <w:color w:val="000000" w:themeColor="text1"/>
          <w:sz w:val="26"/>
          <w:szCs w:val="26"/>
          <w14:textFill>
            <w14:solidFill>
              <w14:schemeClr w14:val="tx1"/>
            </w14:solidFill>
          </w14:textFill>
        </w:rPr>
        <w:t>IV. PHƯƠNG THỨC NHẬN HỖ TRỢ</w:t>
      </w:r>
    </w:p>
    <w:p w14:paraId="4F7B7E9D">
      <w:pPr>
        <w:spacing w:after="46"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xml:space="preserve">Người nhận: </w:t>
      </w: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Chính đối tượng   </w:t>
      </w: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Người nhận thay theo quy định</w:t>
      </w:r>
    </w:p>
    <w:p w14:paraId="10AFC08B">
      <w:pPr>
        <w:spacing w:after="46"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Họ và tên người nhận thay (nếu có): .......................Số định danh: ..........................</w:t>
      </w:r>
    </w:p>
    <w:p w14:paraId="05AB2CCA">
      <w:pPr>
        <w:spacing w:after="46"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Quan hệ với đối tượng: ................................... Số điện thoại: .................................</w:t>
      </w:r>
    </w:p>
    <w:p w14:paraId="17FCEE62">
      <w:pPr>
        <w:spacing w:after="46"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xml:space="preserve">Hình thức nhận:  </w:t>
      </w: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Tài khoản ngân hàng    </w:t>
      </w: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Ví điện tử    </w:t>
      </w: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Tiền mặt</w:t>
      </w:r>
    </w:p>
    <w:p w14:paraId="17E5F8FD">
      <w:pPr>
        <w:spacing w:after="46"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Số tài khoản/Số ví (nếu có): ...........Ngân hàng/Đơn vị cung ứng ví: ......................</w:t>
      </w:r>
    </w:p>
    <w:p w14:paraId="13817BD9">
      <w:pPr>
        <w:keepNext/>
        <w:spacing w:after="60" w:line="254" w:lineRule="auto"/>
        <w:rPr>
          <w:rFonts w:cs="Times New Roman"/>
          <w:color w:val="000000" w:themeColor="text1"/>
          <w:sz w:val="26"/>
          <w:szCs w:val="26"/>
          <w14:textFill>
            <w14:solidFill>
              <w14:schemeClr w14:val="tx1"/>
            </w14:solidFill>
          </w14:textFill>
        </w:rPr>
      </w:pPr>
      <w:r>
        <w:rPr>
          <w:rFonts w:cs="Times New Roman"/>
          <w:b/>
          <w:color w:val="000000" w:themeColor="text1"/>
          <w:sz w:val="26"/>
          <w:szCs w:val="26"/>
          <w14:textFill>
            <w14:solidFill>
              <w14:schemeClr w14:val="tx1"/>
            </w14:solidFill>
          </w14:textFill>
        </w:rPr>
        <w:t>V. TÀI LIỆU KÈM THEO (NẾU CẦN BỔ SUNG)</w:t>
      </w:r>
    </w:p>
    <w:p w14:paraId="6D2BF13E">
      <w:pPr>
        <w:spacing w:after="46"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w:t>
      </w:r>
    </w:p>
    <w:p w14:paraId="118644CB">
      <w:pPr>
        <w:spacing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Tôi đề nghị xem xét hỗ trợ thu nhập hằng tháng theo Điều 13 Nghị quyết; cam đoan thông tin kê khai là đúng sự thật và sẽ thông báo khi có thay đổi điều kiện hưởng. Tôi hiểu việc xác định hộ nghèo không có khả năng lao động và đối chiếu chế độ đang hưởng do cơ quan có thẩm quyền thực hiện.</w:t>
      </w:r>
    </w:p>
    <w:tbl>
      <w:tblPr>
        <w:tblStyle w:val="12"/>
        <w:tblW w:w="0" w:type="auto"/>
        <w:jc w:val="center"/>
        <w:tblLayout w:type="fixed"/>
        <w:tblCellMar>
          <w:top w:w="0" w:type="dxa"/>
          <w:left w:w="108" w:type="dxa"/>
          <w:bottom w:w="0" w:type="dxa"/>
          <w:right w:w="108" w:type="dxa"/>
        </w:tblCellMar>
      </w:tblPr>
      <w:tblGrid>
        <w:gridCol w:w="4535"/>
        <w:gridCol w:w="4535"/>
      </w:tblGrid>
      <w:tr w14:paraId="1A9BFD93">
        <w:tblPrEx>
          <w:tblCellMar>
            <w:top w:w="0" w:type="dxa"/>
            <w:left w:w="108" w:type="dxa"/>
            <w:bottom w:w="0" w:type="dxa"/>
            <w:right w:w="108" w:type="dxa"/>
          </w:tblCellMar>
        </w:tblPrEx>
        <w:trPr>
          <w:cantSplit/>
          <w:jc w:val="center"/>
        </w:trPr>
        <w:tc>
          <w:tcPr>
            <w:tcW w:w="4535" w:type="dxa"/>
          </w:tcPr>
          <w:p w14:paraId="6690B170">
            <w:pPr>
              <w:spacing w:after="46"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 </w:t>
            </w:r>
          </w:p>
        </w:tc>
        <w:tc>
          <w:tcPr>
            <w:tcW w:w="4535" w:type="dxa"/>
          </w:tcPr>
          <w:p w14:paraId="40A6B0E5">
            <w:pPr>
              <w:spacing w:after="46" w:line="254" w:lineRule="auto"/>
              <w:jc w:val="center"/>
              <w:rPr>
                <w:color w:val="000000" w:themeColor="text1"/>
                <w:sz w:val="26"/>
                <w:szCs w:val="26"/>
                <w14:textFill>
                  <w14:solidFill>
                    <w14:schemeClr w14:val="tx1"/>
                  </w14:solidFill>
                </w14:textFill>
              </w:rPr>
            </w:pPr>
            <w:r>
              <w:rPr>
                <w:i/>
                <w:color w:val="000000" w:themeColor="text1"/>
                <w:sz w:val="26"/>
                <w:szCs w:val="26"/>
                <w14:textFill>
                  <w14:solidFill>
                    <w14:schemeClr w14:val="tx1"/>
                  </w14:solidFill>
                </w14:textFill>
              </w:rPr>
              <w:t>............, ngày ...... tháng ...... năm ........</w:t>
            </w:r>
          </w:p>
        </w:tc>
      </w:tr>
      <w:tr w14:paraId="2D946141">
        <w:tblPrEx>
          <w:tblCellMar>
            <w:top w:w="0" w:type="dxa"/>
            <w:left w:w="108" w:type="dxa"/>
            <w:bottom w:w="0" w:type="dxa"/>
            <w:right w:w="108" w:type="dxa"/>
          </w:tblCellMar>
        </w:tblPrEx>
        <w:trPr>
          <w:cantSplit/>
          <w:jc w:val="center"/>
        </w:trPr>
        <w:tc>
          <w:tcPr>
            <w:tcW w:w="4535" w:type="dxa"/>
          </w:tcPr>
          <w:p w14:paraId="7DDADAF1">
            <w:pPr>
              <w:spacing w:after="46" w:line="254" w:lineRule="auto"/>
              <w:jc w:val="center"/>
              <w:rPr>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NGƯỜI TIẾP NHẬN TỜ KHAI</w:t>
            </w:r>
          </w:p>
          <w:p w14:paraId="08F018AA">
            <w:pPr>
              <w:spacing w:after="46" w:line="254" w:lineRule="auto"/>
              <w:jc w:val="center"/>
              <w:rPr>
                <w:color w:val="000000" w:themeColor="text1"/>
                <w:sz w:val="26"/>
                <w:szCs w:val="26"/>
                <w14:textFill>
                  <w14:solidFill>
                    <w14:schemeClr w14:val="tx1"/>
                  </w14:solidFill>
                </w14:textFill>
              </w:rPr>
            </w:pPr>
            <w:r>
              <w:rPr>
                <w:i/>
                <w:color w:val="000000" w:themeColor="text1"/>
                <w:sz w:val="26"/>
                <w:szCs w:val="26"/>
                <w14:textFill>
                  <w14:solidFill>
                    <w14:schemeClr w14:val="tx1"/>
                  </w14:solidFill>
                </w14:textFill>
              </w:rPr>
              <w:t>(Ký, ghi rõ họ tên)</w:t>
            </w:r>
          </w:p>
        </w:tc>
        <w:tc>
          <w:tcPr>
            <w:tcW w:w="4535" w:type="dxa"/>
          </w:tcPr>
          <w:p w14:paraId="6E2B7EB7">
            <w:pPr>
              <w:spacing w:after="46" w:line="254" w:lineRule="auto"/>
              <w:jc w:val="center"/>
              <w:rPr>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NGƯỜI KHAI</w:t>
            </w:r>
          </w:p>
          <w:p w14:paraId="0D1751A8">
            <w:pPr>
              <w:spacing w:after="46" w:line="254" w:lineRule="auto"/>
              <w:jc w:val="center"/>
              <w:rPr>
                <w:i/>
                <w:color w:val="000000" w:themeColor="text1"/>
                <w:sz w:val="26"/>
                <w:szCs w:val="26"/>
                <w14:textFill>
                  <w14:solidFill>
                    <w14:schemeClr w14:val="tx1"/>
                  </w14:solidFill>
                </w14:textFill>
              </w:rPr>
            </w:pPr>
            <w:r>
              <w:rPr>
                <w:i/>
                <w:color w:val="000000" w:themeColor="text1"/>
                <w:sz w:val="26"/>
                <w:szCs w:val="26"/>
                <w14:textFill>
                  <w14:solidFill>
                    <w14:schemeClr w14:val="tx1"/>
                  </w14:solidFill>
                </w14:textFill>
              </w:rPr>
              <w:t>(Ký, ghi rõ họ tên)</w:t>
            </w:r>
          </w:p>
          <w:p w14:paraId="661804FE">
            <w:pPr>
              <w:spacing w:after="46" w:line="254" w:lineRule="auto"/>
              <w:jc w:val="center"/>
              <w:rPr>
                <w:i/>
                <w:color w:val="000000" w:themeColor="text1"/>
                <w:sz w:val="26"/>
                <w:szCs w:val="26"/>
                <w14:textFill>
                  <w14:solidFill>
                    <w14:schemeClr w14:val="tx1"/>
                  </w14:solidFill>
                </w14:textFill>
              </w:rPr>
            </w:pPr>
          </w:p>
          <w:p w14:paraId="6DCCFAFB">
            <w:pPr>
              <w:spacing w:after="46" w:line="254" w:lineRule="auto"/>
              <w:jc w:val="center"/>
              <w:rPr>
                <w:i/>
                <w:color w:val="000000" w:themeColor="text1"/>
                <w:sz w:val="26"/>
                <w:szCs w:val="26"/>
                <w14:textFill>
                  <w14:solidFill>
                    <w14:schemeClr w14:val="tx1"/>
                  </w14:solidFill>
                </w14:textFill>
              </w:rPr>
            </w:pPr>
          </w:p>
          <w:p w14:paraId="28A7B143">
            <w:pPr>
              <w:spacing w:after="46" w:line="254" w:lineRule="auto"/>
              <w:jc w:val="center"/>
              <w:rPr>
                <w:i/>
                <w:color w:val="000000" w:themeColor="text1"/>
                <w:sz w:val="26"/>
                <w:szCs w:val="26"/>
                <w14:textFill>
                  <w14:solidFill>
                    <w14:schemeClr w14:val="tx1"/>
                  </w14:solidFill>
                </w14:textFill>
              </w:rPr>
            </w:pPr>
          </w:p>
          <w:p w14:paraId="58C45F7D">
            <w:pPr>
              <w:spacing w:after="46" w:line="254" w:lineRule="auto"/>
              <w:jc w:val="center"/>
              <w:rPr>
                <w:i/>
                <w:color w:val="000000" w:themeColor="text1"/>
                <w:sz w:val="26"/>
                <w:szCs w:val="26"/>
                <w14:textFill>
                  <w14:solidFill>
                    <w14:schemeClr w14:val="tx1"/>
                  </w14:solidFill>
                </w14:textFill>
              </w:rPr>
            </w:pPr>
          </w:p>
          <w:p w14:paraId="0EEC3E28">
            <w:pPr>
              <w:spacing w:after="46" w:line="254" w:lineRule="auto"/>
              <w:jc w:val="center"/>
              <w:rPr>
                <w:color w:val="000000" w:themeColor="text1"/>
                <w:sz w:val="26"/>
                <w:szCs w:val="26"/>
                <w14:textFill>
                  <w14:solidFill>
                    <w14:schemeClr w14:val="tx1"/>
                  </w14:solidFill>
                </w14:textFill>
              </w:rPr>
            </w:pPr>
          </w:p>
        </w:tc>
      </w:tr>
    </w:tbl>
    <w:p w14:paraId="387EEE8F">
      <w:pPr>
        <w:spacing w:before="100" w:after="0" w:line="240"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Ghi chú: Người khai chỉ điền thông tin liên quan đến nhóm đề nghị hỗ trợ. Ủy ban nhân dân cấp xã khai thác kết quả công nhận, phân loại hộ nghèo không có khả năng lao động, thông tin hộ tịch, độ tuổi và các khoản trợ cấp từ cơ sở dữ liệu, hồ sơ quản lý; không yêu cầu người dân tự xin giấy xác nhận riêng đối với thông tin thuộc trách nhiệm kiểm tra, xác minh của cơ quan giải quyết.</w:t>
      </w:r>
    </w:p>
    <w:p w14:paraId="5DCECB05">
      <w:pPr>
        <w:spacing w:before="100" w:after="0" w:line="240" w:lineRule="auto"/>
        <w:jc w:val="left"/>
        <w:rPr>
          <w:color w:val="000000" w:themeColor="text1"/>
          <w:sz w:val="24"/>
          <w:szCs w:val="24"/>
          <w14:textFill>
            <w14:solidFill>
              <w14:schemeClr w14:val="tx1"/>
            </w14:solidFill>
          </w14:textFill>
        </w:rPr>
      </w:pPr>
    </w:p>
    <w:p w14:paraId="6E17414B">
      <w:pPr>
        <w:spacing w:before="240"/>
        <w:jc w:val="center"/>
        <w:rPr>
          <w:b/>
          <w:color w:val="000000" w:themeColor="text1"/>
          <w14:textFill>
            <w14:solidFill>
              <w14:schemeClr w14:val="tx1"/>
            </w14:solidFill>
          </w14:textFill>
        </w:rPr>
      </w:pPr>
    </w:p>
    <w:p w14:paraId="41F2AAF2">
      <w:pPr>
        <w:spacing w:before="240"/>
        <w:jc w:val="center"/>
        <w:rPr>
          <w:b/>
          <w:color w:val="000000" w:themeColor="text1"/>
          <w14:textFill>
            <w14:solidFill>
              <w14:schemeClr w14:val="tx1"/>
            </w14:solidFill>
          </w14:textFill>
        </w:rPr>
      </w:pPr>
    </w:p>
    <w:p w14:paraId="7842A78C">
      <w:pPr>
        <w:spacing w:before="240"/>
        <w:jc w:val="center"/>
        <w:rPr>
          <w:b/>
          <w:color w:val="000000" w:themeColor="text1"/>
          <w14:textFill>
            <w14:solidFill>
              <w14:schemeClr w14:val="tx1"/>
            </w14:solidFill>
          </w14:textFill>
        </w:rPr>
      </w:pPr>
    </w:p>
    <w:p w14:paraId="2B2E7874">
      <w:pPr>
        <w:spacing w:before="240"/>
        <w:jc w:val="center"/>
        <w:rPr>
          <w:b/>
          <w:color w:val="000000" w:themeColor="text1"/>
          <w14:textFill>
            <w14:solidFill>
              <w14:schemeClr w14:val="tx1"/>
            </w14:solidFill>
          </w14:textFill>
        </w:rPr>
      </w:pPr>
    </w:p>
    <w:p w14:paraId="117D2DAF">
      <w:pPr>
        <w:spacing w:before="240"/>
        <w:jc w:val="center"/>
        <w:rPr>
          <w:b/>
          <w:color w:val="000000" w:themeColor="text1"/>
          <w14:textFill>
            <w14:solidFill>
              <w14:schemeClr w14:val="tx1"/>
            </w14:solidFill>
          </w14:textFill>
        </w:rPr>
      </w:pPr>
    </w:p>
    <w:p w14:paraId="549F80A8">
      <w:pPr>
        <w:spacing w:before="240"/>
        <w:jc w:val="center"/>
        <w:rPr>
          <w:b/>
          <w:color w:val="000000" w:themeColor="text1"/>
          <w14:textFill>
            <w14:solidFill>
              <w14:schemeClr w14:val="tx1"/>
            </w14:solidFill>
          </w14:textFill>
        </w:rPr>
      </w:pPr>
    </w:p>
    <w:p w14:paraId="0ED9EC22">
      <w:pPr>
        <w:spacing w:after="60" w:line="254" w:lineRule="auto"/>
        <w:jc w:val="right"/>
        <w:rPr>
          <w:b/>
          <w:i/>
          <w:color w:val="000000" w:themeColor="text1"/>
          <w:sz w:val="25"/>
          <w14:textFill>
            <w14:solidFill>
              <w14:schemeClr w14:val="tx1"/>
            </w14:solidFill>
          </w14:textFill>
        </w:rPr>
      </w:pPr>
    </w:p>
    <w:p w14:paraId="0D779531">
      <w:pPr>
        <w:spacing w:after="60" w:line="254" w:lineRule="auto"/>
        <w:jc w:val="right"/>
        <w:rPr>
          <w:b/>
          <w:i/>
          <w:color w:val="000000" w:themeColor="text1"/>
          <w:sz w:val="25"/>
          <w14:textFill>
            <w14:solidFill>
              <w14:schemeClr w14:val="tx1"/>
            </w14:solidFill>
          </w14:textFill>
        </w:rPr>
      </w:pPr>
    </w:p>
    <w:p w14:paraId="7A0A8029">
      <w:pPr>
        <w:spacing w:after="60" w:line="254" w:lineRule="auto"/>
        <w:jc w:val="right"/>
        <w:rPr>
          <w:b/>
          <w:i/>
          <w:color w:val="000000" w:themeColor="text1"/>
          <w:sz w:val="25"/>
          <w14:textFill>
            <w14:solidFill>
              <w14:schemeClr w14:val="tx1"/>
            </w14:solidFill>
          </w14:textFill>
        </w:rPr>
      </w:pPr>
    </w:p>
    <w:p w14:paraId="648D8EBD">
      <w:pPr>
        <w:spacing w:after="60" w:line="254" w:lineRule="auto"/>
        <w:jc w:val="right"/>
        <w:rPr>
          <w:color w:val="000000" w:themeColor="text1"/>
          <w:sz w:val="25"/>
          <w14:textFill>
            <w14:solidFill>
              <w14:schemeClr w14:val="tx1"/>
            </w14:solidFill>
          </w14:textFill>
        </w:rPr>
      </w:pPr>
      <w:r>
        <w:rPr>
          <w:b/>
          <w:i/>
          <w:color w:val="000000" w:themeColor="text1"/>
          <w:sz w:val="25"/>
          <w14:textFill>
            <w14:solidFill>
              <w14:schemeClr w14:val="tx1"/>
            </w14:solidFill>
          </w14:textFill>
        </w:rPr>
        <w:t>Mẫu số 04</w:t>
      </w:r>
    </w:p>
    <w:p w14:paraId="16592AD2">
      <w:pPr>
        <w:spacing w:after="20" w:line="254" w:lineRule="auto"/>
        <w:jc w:val="center"/>
        <w:rPr>
          <w:color w:val="000000" w:themeColor="text1"/>
          <w:sz w:val="25"/>
          <w14:textFill>
            <w14:solidFill>
              <w14:schemeClr w14:val="tx1"/>
            </w14:solidFill>
          </w14:textFill>
        </w:rPr>
      </w:pPr>
      <w:r>
        <w:rPr>
          <w:b/>
          <w:color w:val="000000" w:themeColor="text1"/>
          <w:sz w:val="25"/>
          <w14:textFill>
            <w14:solidFill>
              <w14:schemeClr w14:val="tx1"/>
            </w14:solidFill>
          </w14:textFill>
        </w:rPr>
        <w:t>CỘNG HÒA XÃ HỘI CHỦ NGHĨA VIỆT NAM</w:t>
      </w:r>
    </w:p>
    <w:p w14:paraId="79029CE4">
      <w:pPr>
        <w:spacing w:after="60" w:line="254" w:lineRule="auto"/>
        <w:jc w:val="center"/>
        <w:rPr>
          <w:color w:val="000000" w:themeColor="text1"/>
          <w:sz w:val="25"/>
          <w14:textFill>
            <w14:solidFill>
              <w14:schemeClr w14:val="tx1"/>
            </w14:solidFill>
          </w14:textFill>
        </w:rPr>
      </w:pPr>
      <w:r>
        <w:rPr>
          <w:b/>
          <w:color w:val="000000" w:themeColor="text1"/>
          <w:sz w:val="25"/>
          <w14:textFill>
            <w14:solidFill>
              <w14:schemeClr w14:val="tx1"/>
            </w14:solidFill>
          </w14:textFill>
        </w:rPr>
        <w:t>Độc lập - Tự do - Hạnh phúc</w:t>
      </w:r>
    </w:p>
    <w:p w14:paraId="596808ED">
      <w:pPr>
        <w:spacing w:after="160" w:line="254" w:lineRule="auto"/>
        <w:jc w:val="center"/>
        <w:rPr>
          <w:color w:val="000000" w:themeColor="text1"/>
          <w:sz w:val="25"/>
          <w14:textFill>
            <w14:solidFill>
              <w14:schemeClr w14:val="tx1"/>
            </w14:solidFill>
          </w14:textFill>
        </w:rPr>
      </w:pPr>
      <w:r>
        <w:rPr>
          <w:color w:val="000000" w:themeColor="text1"/>
          <w:sz w:val="25"/>
          <w14:textFill>
            <w14:solidFill>
              <w14:schemeClr w14:val="tx1"/>
            </w14:solidFill>
          </w14:textFill>
        </w:rPr>
        <w:t>____________________</w:t>
      </w:r>
    </w:p>
    <w:p w14:paraId="4638E3FC">
      <w:pPr>
        <w:spacing w:after="20" w:line="254" w:lineRule="auto"/>
        <w:jc w:val="center"/>
        <w:rPr>
          <w:b/>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TỜ KHAI ĐỀ NGHỊ TIẾP NHẬN, CHĂM SÓC, NUÔI DƯỠNG</w:t>
      </w:r>
    </w:p>
    <w:p w14:paraId="19685D03">
      <w:pPr>
        <w:spacing w:after="180" w:line="254" w:lineRule="auto"/>
        <w:jc w:val="center"/>
        <w:rPr>
          <w:color w:val="000000" w:themeColor="text1"/>
          <w:sz w:val="26"/>
          <w:szCs w:val="26"/>
          <w14:textFill>
            <w14:solidFill>
              <w14:schemeClr w14:val="tx1"/>
            </w14:solidFill>
          </w14:textFill>
        </w:rPr>
      </w:pPr>
      <w:r>
        <w:rPr>
          <w:i/>
          <w:color w:val="000000" w:themeColor="text1"/>
          <w:sz w:val="26"/>
          <w:szCs w:val="26"/>
          <w14:textFill>
            <w14:solidFill>
              <w14:schemeClr w14:val="tx1"/>
            </w14:solidFill>
          </w14:textFill>
        </w:rPr>
        <w:t>(Theo Điều 14 Nghị quyết số ....../2026/NQ-HĐND của HĐND tỉnh Hà Tĩnh)</w:t>
      </w:r>
    </w:p>
    <w:p w14:paraId="68699AD1">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Kính gửi: - Chủ tịch Ủy ban nhân dân xã/phường ...........................................................</w:t>
      </w:r>
    </w:p>
    <w:p w14:paraId="157A0331">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                 - Người đứng đầu cơ sở dự kiến tiếp nhận (nếu đã xác định): ...................</w:t>
      </w:r>
    </w:p>
    <w:p w14:paraId="56DB3A1F">
      <w:pPr>
        <w:spacing w:before="100" w:after="60" w:line="254" w:lineRule="auto"/>
        <w:jc w:val="left"/>
        <w:rPr>
          <w:b/>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I. THÔNG TIN NGƯỜI ĐƯỢC ĐỀ NGHỊ TIẾP NHẬN</w:t>
      </w:r>
    </w:p>
    <w:p w14:paraId="4EB3275E">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1. Họ và tên: .................................................................................</w:t>
      </w:r>
    </w:p>
    <w:p w14:paraId="36F587D2">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Ngày, tháng, năm sinh: ....../....../........      Giới tính: .............  Dân tộc: ..................</w:t>
      </w:r>
    </w:p>
    <w:p w14:paraId="72C4FB5F">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2. Số định danh cá nhân/số căn cước (nếu có): .........................................................</w:t>
      </w:r>
    </w:p>
    <w:p w14:paraId="40570A9C">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3. Nơi đăng ký thường trú: .................................................................................</w:t>
      </w:r>
    </w:p>
    <w:p w14:paraId="7C3A921D">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Nơi ở hiện nay (nếu khác nơi thường trú): .............................................................</w:t>
      </w:r>
    </w:p>
    <w:p w14:paraId="5559D498">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4. Thuộc hộ:  </w:t>
      </w:r>
      <w:r>
        <w:rPr>
          <w:rFonts w:ascii="Segoe UI Symbol" w:hAnsi="Segoe UI Symbol" w:cs="Segoe UI Symbol"/>
          <w:color w:val="000000" w:themeColor="text1"/>
          <w:sz w:val="26"/>
          <w:szCs w:val="26"/>
          <w14:textFill>
            <w14:solidFill>
              <w14:schemeClr w14:val="tx1"/>
            </w14:solidFill>
          </w14:textFill>
        </w:rPr>
        <w:t>☐</w:t>
      </w:r>
      <w:r>
        <w:rPr>
          <w:color w:val="000000" w:themeColor="text1"/>
          <w:sz w:val="26"/>
          <w:szCs w:val="26"/>
          <w14:textFill>
            <w14:solidFill>
              <w14:schemeClr w14:val="tx1"/>
            </w14:solidFill>
          </w14:textFill>
        </w:rPr>
        <w:t xml:space="preserve"> Ngh</w:t>
      </w:r>
      <w:r>
        <w:rPr>
          <w:rFonts w:cs="Times New Roman"/>
          <w:color w:val="000000" w:themeColor="text1"/>
          <w:sz w:val="26"/>
          <w:szCs w:val="26"/>
          <w14:textFill>
            <w14:solidFill>
              <w14:schemeClr w14:val="tx1"/>
            </w14:solidFill>
          </w14:textFill>
        </w:rPr>
        <w:t>è</w:t>
      </w:r>
      <w:r>
        <w:rPr>
          <w:color w:val="000000" w:themeColor="text1"/>
          <w:sz w:val="26"/>
          <w:szCs w:val="26"/>
          <w14:textFill>
            <w14:solidFill>
              <w14:schemeClr w14:val="tx1"/>
            </w14:solidFill>
          </w14:textFill>
        </w:rPr>
        <w:t xml:space="preserve">o     </w:t>
      </w:r>
      <w:r>
        <w:rPr>
          <w:rFonts w:ascii="Segoe UI Symbol" w:hAnsi="Segoe UI Symbol" w:cs="Segoe UI Symbol"/>
          <w:color w:val="000000" w:themeColor="text1"/>
          <w:sz w:val="26"/>
          <w:szCs w:val="26"/>
          <w14:textFill>
            <w14:solidFill>
              <w14:schemeClr w14:val="tx1"/>
            </w14:solidFill>
          </w14:textFill>
        </w:rPr>
        <w:t>☐</w:t>
      </w:r>
      <w:r>
        <w:rPr>
          <w:color w:val="000000" w:themeColor="text1"/>
          <w:sz w:val="26"/>
          <w:szCs w:val="26"/>
          <w14:textFill>
            <w14:solidFill>
              <w14:schemeClr w14:val="tx1"/>
            </w14:solidFill>
          </w14:textFill>
        </w:rPr>
        <w:t xml:space="preserve"> C</w:t>
      </w:r>
      <w:r>
        <w:rPr>
          <w:rFonts w:cs="Times New Roman"/>
          <w:color w:val="000000" w:themeColor="text1"/>
          <w:sz w:val="26"/>
          <w:szCs w:val="26"/>
          <w14:textFill>
            <w14:solidFill>
              <w14:schemeClr w14:val="tx1"/>
            </w14:solidFill>
          </w14:textFill>
        </w:rPr>
        <w:t>ậ</w:t>
      </w:r>
      <w:r>
        <w:rPr>
          <w:color w:val="000000" w:themeColor="text1"/>
          <w:sz w:val="26"/>
          <w:szCs w:val="26"/>
          <w14:textFill>
            <w14:solidFill>
              <w14:schemeClr w14:val="tx1"/>
            </w14:solidFill>
          </w14:textFill>
        </w:rPr>
        <w:t>n ngh</w:t>
      </w:r>
      <w:r>
        <w:rPr>
          <w:rFonts w:cs="Times New Roman"/>
          <w:color w:val="000000" w:themeColor="text1"/>
          <w:sz w:val="26"/>
          <w:szCs w:val="26"/>
          <w14:textFill>
            <w14:solidFill>
              <w14:schemeClr w14:val="tx1"/>
            </w14:solidFill>
          </w14:textFill>
        </w:rPr>
        <w:t>è</w:t>
      </w:r>
      <w:r>
        <w:rPr>
          <w:color w:val="000000" w:themeColor="text1"/>
          <w:sz w:val="26"/>
          <w:szCs w:val="26"/>
          <w14:textFill>
            <w14:solidFill>
              <w14:schemeClr w14:val="tx1"/>
            </w14:solidFill>
          </w14:textFill>
        </w:rPr>
        <w:t>o       H</w:t>
      </w:r>
      <w:r>
        <w:rPr>
          <w:rFonts w:cs="Times New Roman"/>
          <w:color w:val="000000" w:themeColor="text1"/>
          <w:sz w:val="26"/>
          <w:szCs w:val="26"/>
          <w14:textFill>
            <w14:solidFill>
              <w14:schemeClr w14:val="tx1"/>
            </w14:solidFill>
          </w14:textFill>
        </w:rPr>
        <w:t>ọ</w:t>
      </w:r>
      <w:r>
        <w:rPr>
          <w:color w:val="000000" w:themeColor="text1"/>
          <w:sz w:val="26"/>
          <w:szCs w:val="26"/>
          <w14:textFill>
            <w14:solidFill>
              <w14:schemeClr w14:val="tx1"/>
            </w14:solidFill>
          </w14:textFill>
        </w:rPr>
        <w:t xml:space="preserve"> t</w:t>
      </w:r>
      <w:r>
        <w:rPr>
          <w:rFonts w:cs="Times New Roman"/>
          <w:color w:val="000000" w:themeColor="text1"/>
          <w:sz w:val="26"/>
          <w:szCs w:val="26"/>
          <w14:textFill>
            <w14:solidFill>
              <w14:schemeClr w14:val="tx1"/>
            </w14:solidFill>
          </w14:textFill>
        </w:rPr>
        <w:t>ê</w:t>
      </w:r>
      <w:r>
        <w:rPr>
          <w:color w:val="000000" w:themeColor="text1"/>
          <w:sz w:val="26"/>
          <w:szCs w:val="26"/>
          <w14:textFill>
            <w14:solidFill>
              <w14:schemeClr w14:val="tx1"/>
            </w14:solidFill>
          </w14:textFill>
        </w:rPr>
        <w:t>n ch</w:t>
      </w:r>
      <w:r>
        <w:rPr>
          <w:rFonts w:cs="Times New Roman"/>
          <w:color w:val="000000" w:themeColor="text1"/>
          <w:sz w:val="26"/>
          <w:szCs w:val="26"/>
          <w14:textFill>
            <w14:solidFill>
              <w14:schemeClr w14:val="tx1"/>
            </w14:solidFill>
          </w14:textFill>
        </w:rPr>
        <w:t>ủ</w:t>
      </w:r>
      <w:r>
        <w:rPr>
          <w:color w:val="000000" w:themeColor="text1"/>
          <w:sz w:val="26"/>
          <w:szCs w:val="26"/>
          <w14:textFill>
            <w14:solidFill>
              <w14:schemeClr w14:val="tx1"/>
            </w14:solidFill>
          </w14:textFill>
        </w:rPr>
        <w:t xml:space="preserve"> h</w:t>
      </w:r>
      <w:r>
        <w:rPr>
          <w:rFonts w:cs="Times New Roman"/>
          <w:color w:val="000000" w:themeColor="text1"/>
          <w:sz w:val="26"/>
          <w:szCs w:val="26"/>
          <w14:textFill>
            <w14:solidFill>
              <w14:schemeClr w14:val="tx1"/>
            </w14:solidFill>
          </w14:textFill>
        </w:rPr>
        <w:t>ộ</w:t>
      </w:r>
      <w:r>
        <w:rPr>
          <w:color w:val="000000" w:themeColor="text1"/>
          <w:sz w:val="26"/>
          <w:szCs w:val="26"/>
          <w14:textFill>
            <w14:solidFill>
              <w14:schemeClr w14:val="tx1"/>
            </w14:solidFill>
          </w14:textFill>
        </w:rPr>
        <w:t>: ................................................</w:t>
      </w:r>
    </w:p>
    <w:p w14:paraId="17D3E6A3">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5. Chế độ, trợ cấp hằng tháng đang hưởng (nếu có): ......................................................</w:t>
      </w:r>
    </w:p>
    <w:p w14:paraId="7CE0DE1F">
      <w:pPr>
        <w:spacing w:before="100" w:after="60" w:line="254" w:lineRule="auto"/>
        <w:jc w:val="left"/>
        <w:rPr>
          <w:b/>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II. THÔNG TIN NGƯỜI GIÁM HỘ, ĐẠI DIỆN HOẶC TRỰC TIẾP CHĂM SÓC</w:t>
      </w:r>
    </w:p>
    <w:p w14:paraId="7BD4313D">
      <w:pPr>
        <w:spacing w:after="60" w:line="254" w:lineRule="auto"/>
        <w:jc w:val="left"/>
        <w:rPr>
          <w:color w:val="000000" w:themeColor="text1"/>
          <w:sz w:val="26"/>
          <w:szCs w:val="26"/>
          <w14:textFill>
            <w14:solidFill>
              <w14:schemeClr w14:val="tx1"/>
            </w14:solidFill>
          </w14:textFill>
        </w:rPr>
      </w:pPr>
      <w:r>
        <w:rPr>
          <w:i/>
          <w:color w:val="000000" w:themeColor="text1"/>
          <w:sz w:val="26"/>
          <w:szCs w:val="26"/>
          <w14:textFill>
            <w14:solidFill>
              <w14:schemeClr w14:val="tx1"/>
            </w14:solidFill>
          </w14:textFill>
        </w:rPr>
        <w:t>(Chỉ kê khai khi có người giám hộ, người đại diện hoặc người trực tiếp chăm sóc trẻ)</w:t>
      </w:r>
    </w:p>
    <w:p w14:paraId="777B5E4F">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1. Họ và tên: .................................................................................</w:t>
      </w:r>
    </w:p>
    <w:p w14:paraId="5A1EEE7E">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Số định danh cá nhân/số căn cước (nếu có): ..............................................................</w:t>
      </w:r>
    </w:p>
    <w:p w14:paraId="3F5A7E41">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2. Mối quan hệ với đối tượng: ................................ Số điện thoại (nếu có): ...................</w:t>
      </w:r>
    </w:p>
    <w:p w14:paraId="7B11A2AE">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3. Nơi cư trú: .................................................................................</w:t>
      </w:r>
    </w:p>
    <w:p w14:paraId="2C40E022">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4. Tư cách: </w:t>
      </w:r>
      <w:r>
        <w:rPr>
          <w:rFonts w:ascii="Segoe UI Symbol" w:hAnsi="Segoe UI Symbol" w:cs="Segoe UI Symbol"/>
          <w:color w:val="000000" w:themeColor="text1"/>
          <w:sz w:val="26"/>
          <w:szCs w:val="26"/>
          <w14:textFill>
            <w14:solidFill>
              <w14:schemeClr w14:val="tx1"/>
            </w14:solidFill>
          </w14:textFill>
        </w:rPr>
        <w:t>☐</w:t>
      </w:r>
      <w:r>
        <w:rPr>
          <w:color w:val="000000" w:themeColor="text1"/>
          <w:sz w:val="26"/>
          <w:szCs w:val="26"/>
          <w14:textFill>
            <w14:solidFill>
              <w14:schemeClr w14:val="tx1"/>
            </w14:solidFill>
          </w14:textFill>
        </w:rPr>
        <w:t xml:space="preserve"> Ng</w:t>
      </w:r>
      <w:r>
        <w:rPr>
          <w:rFonts w:cs="Times New Roman"/>
          <w:color w:val="000000" w:themeColor="text1"/>
          <w:sz w:val="26"/>
          <w:szCs w:val="26"/>
          <w14:textFill>
            <w14:solidFill>
              <w14:schemeClr w14:val="tx1"/>
            </w14:solidFill>
          </w14:textFill>
        </w:rPr>
        <w:t>ườ</w:t>
      </w:r>
      <w:r>
        <w:rPr>
          <w:color w:val="000000" w:themeColor="text1"/>
          <w:sz w:val="26"/>
          <w:szCs w:val="26"/>
          <w14:textFill>
            <w14:solidFill>
              <w14:schemeClr w14:val="tx1"/>
            </w14:solidFill>
          </w14:textFill>
        </w:rPr>
        <w:t>i gi</w:t>
      </w:r>
      <w:r>
        <w:rPr>
          <w:rFonts w:cs="Times New Roman"/>
          <w:color w:val="000000" w:themeColor="text1"/>
          <w:sz w:val="26"/>
          <w:szCs w:val="26"/>
          <w14:textFill>
            <w14:solidFill>
              <w14:schemeClr w14:val="tx1"/>
            </w14:solidFill>
          </w14:textFill>
        </w:rPr>
        <w:t>á</w:t>
      </w:r>
      <w:r>
        <w:rPr>
          <w:color w:val="000000" w:themeColor="text1"/>
          <w:sz w:val="26"/>
          <w:szCs w:val="26"/>
          <w14:textFill>
            <w14:solidFill>
              <w14:schemeClr w14:val="tx1"/>
            </w14:solidFill>
          </w14:textFill>
        </w:rPr>
        <w:t>m h</w:t>
      </w:r>
      <w:r>
        <w:rPr>
          <w:rFonts w:cs="Times New Roman"/>
          <w:color w:val="000000" w:themeColor="text1"/>
          <w:sz w:val="26"/>
          <w:szCs w:val="26"/>
          <w14:textFill>
            <w14:solidFill>
              <w14:schemeClr w14:val="tx1"/>
            </w14:solidFill>
          </w14:textFill>
        </w:rPr>
        <w:t>ộ</w:t>
      </w:r>
      <w:r>
        <w:rPr>
          <w:color w:val="000000" w:themeColor="text1"/>
          <w:sz w:val="26"/>
          <w:szCs w:val="26"/>
          <w14:textFill>
            <w14:solidFill>
              <w14:schemeClr w14:val="tx1"/>
            </w14:solidFill>
          </w14:textFill>
        </w:rPr>
        <w:t xml:space="preserve">   </w:t>
      </w:r>
      <w:r>
        <w:rPr>
          <w:rFonts w:ascii="Segoe UI Symbol" w:hAnsi="Segoe UI Symbol" w:cs="Segoe UI Symbol"/>
          <w:color w:val="000000" w:themeColor="text1"/>
          <w:sz w:val="26"/>
          <w:szCs w:val="26"/>
          <w14:textFill>
            <w14:solidFill>
              <w14:schemeClr w14:val="tx1"/>
            </w14:solidFill>
          </w14:textFill>
        </w:rPr>
        <w:t>☐</w:t>
      </w:r>
      <w:r>
        <w:rPr>
          <w:color w:val="000000" w:themeColor="text1"/>
          <w:sz w:val="26"/>
          <w:szCs w:val="26"/>
          <w14:textFill>
            <w14:solidFill>
              <w14:schemeClr w14:val="tx1"/>
            </w14:solidFill>
          </w14:textFill>
        </w:rPr>
        <w:t xml:space="preserve"> Ng</w:t>
      </w:r>
      <w:r>
        <w:rPr>
          <w:rFonts w:cs="Times New Roman"/>
          <w:color w:val="000000" w:themeColor="text1"/>
          <w:sz w:val="26"/>
          <w:szCs w:val="26"/>
          <w14:textFill>
            <w14:solidFill>
              <w14:schemeClr w14:val="tx1"/>
            </w14:solidFill>
          </w14:textFill>
        </w:rPr>
        <w:t>ườ</w:t>
      </w:r>
      <w:r>
        <w:rPr>
          <w:color w:val="000000" w:themeColor="text1"/>
          <w:sz w:val="26"/>
          <w:szCs w:val="26"/>
          <w14:textFill>
            <w14:solidFill>
              <w14:schemeClr w14:val="tx1"/>
            </w14:solidFill>
          </w14:textFill>
        </w:rPr>
        <w:t xml:space="preserve">i </w:t>
      </w:r>
      <w:r>
        <w:rPr>
          <w:rFonts w:cs="Times New Roman"/>
          <w:color w:val="000000" w:themeColor="text1"/>
          <w:sz w:val="26"/>
          <w:szCs w:val="26"/>
          <w14:textFill>
            <w14:solidFill>
              <w14:schemeClr w14:val="tx1"/>
            </w14:solidFill>
          </w14:textFill>
        </w:rPr>
        <w:t>đạ</w:t>
      </w:r>
      <w:r>
        <w:rPr>
          <w:color w:val="000000" w:themeColor="text1"/>
          <w:sz w:val="26"/>
          <w:szCs w:val="26"/>
          <w14:textFill>
            <w14:solidFill>
              <w14:schemeClr w14:val="tx1"/>
            </w14:solidFill>
          </w14:textFill>
        </w:rPr>
        <w:t>i di</w:t>
      </w:r>
      <w:r>
        <w:rPr>
          <w:rFonts w:cs="Times New Roman"/>
          <w:color w:val="000000" w:themeColor="text1"/>
          <w:sz w:val="26"/>
          <w:szCs w:val="26"/>
          <w14:textFill>
            <w14:solidFill>
              <w14:schemeClr w14:val="tx1"/>
            </w14:solidFill>
          </w14:textFill>
        </w:rPr>
        <w:t>ệ</w:t>
      </w:r>
      <w:r>
        <w:rPr>
          <w:color w:val="000000" w:themeColor="text1"/>
          <w:sz w:val="26"/>
          <w:szCs w:val="26"/>
          <w14:textFill>
            <w14:solidFill>
              <w14:schemeClr w14:val="tx1"/>
            </w14:solidFill>
          </w14:textFill>
        </w:rPr>
        <w:t>n h</w:t>
      </w:r>
      <w:r>
        <w:rPr>
          <w:rFonts w:cs="Times New Roman"/>
          <w:color w:val="000000" w:themeColor="text1"/>
          <w:sz w:val="26"/>
          <w:szCs w:val="26"/>
          <w14:textFill>
            <w14:solidFill>
              <w14:schemeClr w14:val="tx1"/>
            </w14:solidFill>
          </w14:textFill>
        </w:rPr>
        <w:t>ợ</w:t>
      </w:r>
      <w:r>
        <w:rPr>
          <w:color w:val="000000" w:themeColor="text1"/>
          <w:sz w:val="26"/>
          <w:szCs w:val="26"/>
          <w14:textFill>
            <w14:solidFill>
              <w14:schemeClr w14:val="tx1"/>
            </w14:solidFill>
          </w14:textFill>
        </w:rPr>
        <w:t>p ph</w:t>
      </w:r>
      <w:r>
        <w:rPr>
          <w:rFonts w:cs="Times New Roman"/>
          <w:color w:val="000000" w:themeColor="text1"/>
          <w:sz w:val="26"/>
          <w:szCs w:val="26"/>
          <w14:textFill>
            <w14:solidFill>
              <w14:schemeClr w14:val="tx1"/>
            </w14:solidFill>
          </w14:textFill>
        </w:rPr>
        <w:t>á</w:t>
      </w:r>
      <w:r>
        <w:rPr>
          <w:color w:val="000000" w:themeColor="text1"/>
          <w:sz w:val="26"/>
          <w:szCs w:val="26"/>
          <w14:textFill>
            <w14:solidFill>
              <w14:schemeClr w14:val="tx1"/>
            </w14:solidFill>
          </w14:textFill>
        </w:rPr>
        <w:t xml:space="preserve">p   </w:t>
      </w:r>
      <w:r>
        <w:rPr>
          <w:rFonts w:ascii="Segoe UI Symbol" w:hAnsi="Segoe UI Symbol" w:cs="Segoe UI Symbol"/>
          <w:color w:val="000000" w:themeColor="text1"/>
          <w:sz w:val="26"/>
          <w:szCs w:val="26"/>
          <w14:textFill>
            <w14:solidFill>
              <w14:schemeClr w14:val="tx1"/>
            </w14:solidFill>
          </w14:textFill>
        </w:rPr>
        <w:t>☐</w:t>
      </w:r>
      <w:r>
        <w:rPr>
          <w:color w:val="000000" w:themeColor="text1"/>
          <w:sz w:val="26"/>
          <w:szCs w:val="26"/>
          <w14:textFill>
            <w14:solidFill>
              <w14:schemeClr w14:val="tx1"/>
            </w14:solidFill>
          </w14:textFill>
        </w:rPr>
        <w:t xml:space="preserve"> Tr</w:t>
      </w:r>
      <w:r>
        <w:rPr>
          <w:rFonts w:cs="Times New Roman"/>
          <w:color w:val="000000" w:themeColor="text1"/>
          <w:sz w:val="26"/>
          <w:szCs w:val="26"/>
          <w14:textFill>
            <w14:solidFill>
              <w14:schemeClr w14:val="tx1"/>
            </w14:solidFill>
          </w14:textFill>
        </w:rPr>
        <w:t>ự</w:t>
      </w:r>
      <w:r>
        <w:rPr>
          <w:color w:val="000000" w:themeColor="text1"/>
          <w:sz w:val="26"/>
          <w:szCs w:val="26"/>
          <w14:textFill>
            <w14:solidFill>
              <w14:schemeClr w14:val="tx1"/>
            </w14:solidFill>
          </w14:textFill>
        </w:rPr>
        <w:t>c ti</w:t>
      </w:r>
      <w:r>
        <w:rPr>
          <w:rFonts w:cs="Times New Roman"/>
          <w:color w:val="000000" w:themeColor="text1"/>
          <w:sz w:val="26"/>
          <w:szCs w:val="26"/>
          <w14:textFill>
            <w14:solidFill>
              <w14:schemeClr w14:val="tx1"/>
            </w14:solidFill>
          </w14:textFill>
        </w:rPr>
        <w:t>ế</w:t>
      </w:r>
      <w:r>
        <w:rPr>
          <w:color w:val="000000" w:themeColor="text1"/>
          <w:sz w:val="26"/>
          <w:szCs w:val="26"/>
          <w14:textFill>
            <w14:solidFill>
              <w14:schemeClr w14:val="tx1"/>
            </w14:solidFill>
          </w14:textFill>
        </w:rPr>
        <w:t>p ch</w:t>
      </w:r>
      <w:r>
        <w:rPr>
          <w:rFonts w:cs="Times New Roman"/>
          <w:color w:val="000000" w:themeColor="text1"/>
          <w:sz w:val="26"/>
          <w:szCs w:val="26"/>
          <w14:textFill>
            <w14:solidFill>
              <w14:schemeClr w14:val="tx1"/>
            </w14:solidFill>
          </w14:textFill>
        </w:rPr>
        <w:t>ă</w:t>
      </w:r>
      <w:r>
        <w:rPr>
          <w:color w:val="000000" w:themeColor="text1"/>
          <w:sz w:val="26"/>
          <w:szCs w:val="26"/>
          <w14:textFill>
            <w14:solidFill>
              <w14:schemeClr w14:val="tx1"/>
            </w14:solidFill>
          </w14:textFill>
        </w:rPr>
        <w:t>m s</w:t>
      </w:r>
      <w:r>
        <w:rPr>
          <w:rFonts w:cs="Times New Roman"/>
          <w:color w:val="000000" w:themeColor="text1"/>
          <w:sz w:val="26"/>
          <w:szCs w:val="26"/>
          <w14:textFill>
            <w14:solidFill>
              <w14:schemeClr w14:val="tx1"/>
            </w14:solidFill>
          </w14:textFill>
        </w:rPr>
        <w:t>ó</w:t>
      </w:r>
      <w:r>
        <w:rPr>
          <w:color w:val="000000" w:themeColor="text1"/>
          <w:sz w:val="26"/>
          <w:szCs w:val="26"/>
          <w14:textFill>
            <w14:solidFill>
              <w14:schemeClr w14:val="tx1"/>
            </w14:solidFill>
          </w14:textFill>
        </w:rPr>
        <w:t>c tr</w:t>
      </w:r>
      <w:r>
        <w:rPr>
          <w:rFonts w:cs="Times New Roman"/>
          <w:color w:val="000000" w:themeColor="text1"/>
          <w:sz w:val="26"/>
          <w:szCs w:val="26"/>
          <w14:textFill>
            <w14:solidFill>
              <w14:schemeClr w14:val="tx1"/>
            </w14:solidFill>
          </w14:textFill>
        </w:rPr>
        <w:t>ẻ</w:t>
      </w:r>
    </w:p>
    <w:p w14:paraId="375AD845">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III. NHÓM ĐỐI TƯỢNG VÀ THÔNG TIN ĐỀ NGHỊ</w:t>
      </w:r>
    </w:p>
    <w:p w14:paraId="04C4FCFE">
      <w:pPr>
        <w:spacing w:after="60" w:line="254" w:lineRule="auto"/>
        <w:jc w:val="left"/>
        <w:rPr>
          <w:color w:val="000000" w:themeColor="text1"/>
          <w:sz w:val="26"/>
          <w:szCs w:val="26"/>
          <w14:textFill>
            <w14:solidFill>
              <w14:schemeClr w14:val="tx1"/>
            </w14:solidFill>
          </w14:textFill>
        </w:rPr>
      </w:pPr>
      <w:r>
        <w:rPr>
          <w:i/>
          <w:color w:val="000000" w:themeColor="text1"/>
          <w:sz w:val="26"/>
          <w:szCs w:val="26"/>
          <w14:textFill>
            <w14:solidFill>
              <w14:schemeClr w14:val="tx1"/>
            </w14:solidFill>
          </w14:textFill>
        </w:rPr>
        <w:t>(Đánh dấu một nhóm phù hợp và chỉ kê khai các thông tin của nhóm đó)</w:t>
      </w:r>
    </w:p>
    <w:p w14:paraId="13545B74">
      <w:pPr>
        <w:spacing w:after="60" w:line="254" w:lineRule="auto"/>
        <w:jc w:val="left"/>
        <w:rPr>
          <w:color w:val="000000" w:themeColor="text1"/>
          <w:sz w:val="26"/>
          <w:szCs w:val="26"/>
          <w14:textFill>
            <w14:solidFill>
              <w14:schemeClr w14:val="tx1"/>
            </w14:solidFill>
          </w14:textFill>
        </w:rPr>
      </w:pPr>
      <w:r>
        <w:rPr>
          <w:rFonts w:ascii="Segoe UI Symbol" w:hAnsi="Segoe UI Symbol" w:cs="Segoe UI Symbol"/>
          <w:b/>
          <w:color w:val="000000" w:themeColor="text1"/>
          <w:sz w:val="26"/>
          <w:szCs w:val="26"/>
          <w14:textFill>
            <w14:solidFill>
              <w14:schemeClr w14:val="tx1"/>
            </w14:solidFill>
          </w14:textFill>
        </w:rPr>
        <w:t>☐</w:t>
      </w:r>
      <w:r>
        <w:rPr>
          <w:b/>
          <w:color w:val="000000" w:themeColor="text1"/>
          <w:sz w:val="26"/>
          <w:szCs w:val="26"/>
          <w14:textFill>
            <w14:solidFill>
              <w14:schemeClr w14:val="tx1"/>
            </w14:solidFill>
          </w14:textFill>
        </w:rPr>
        <w:t xml:space="preserve"> 1. Tr</w:t>
      </w:r>
      <w:r>
        <w:rPr>
          <w:rFonts w:cs="Times New Roman"/>
          <w:b/>
          <w:color w:val="000000" w:themeColor="text1"/>
          <w:sz w:val="26"/>
          <w:szCs w:val="26"/>
          <w14:textFill>
            <w14:solidFill>
              <w14:schemeClr w14:val="tx1"/>
            </w14:solidFill>
          </w14:textFill>
        </w:rPr>
        <w:t>ẻ</w:t>
      </w:r>
      <w:r>
        <w:rPr>
          <w:b/>
          <w:color w:val="000000" w:themeColor="text1"/>
          <w:sz w:val="26"/>
          <w:szCs w:val="26"/>
          <w14:textFill>
            <w14:solidFill>
              <w14:schemeClr w14:val="tx1"/>
            </w14:solidFill>
          </w14:textFill>
        </w:rPr>
        <w:t xml:space="preserve"> em d</w:t>
      </w:r>
      <w:r>
        <w:rPr>
          <w:rFonts w:cs="Times New Roman"/>
          <w:b/>
          <w:color w:val="000000" w:themeColor="text1"/>
          <w:sz w:val="26"/>
          <w:szCs w:val="26"/>
          <w14:textFill>
            <w14:solidFill>
              <w14:schemeClr w14:val="tx1"/>
            </w14:solidFill>
          </w14:textFill>
        </w:rPr>
        <w:t>ướ</w:t>
      </w:r>
      <w:r>
        <w:rPr>
          <w:b/>
          <w:color w:val="000000" w:themeColor="text1"/>
          <w:sz w:val="26"/>
          <w:szCs w:val="26"/>
          <w14:textFill>
            <w14:solidFill>
              <w14:schemeClr w14:val="tx1"/>
            </w14:solidFill>
          </w14:textFill>
        </w:rPr>
        <w:t>i 16 tu</w:t>
      </w:r>
      <w:r>
        <w:rPr>
          <w:rFonts w:cs="Times New Roman"/>
          <w:b/>
          <w:color w:val="000000" w:themeColor="text1"/>
          <w:sz w:val="26"/>
          <w:szCs w:val="26"/>
          <w14:textFill>
            <w14:solidFill>
              <w14:schemeClr w14:val="tx1"/>
            </w14:solidFill>
          </w14:textFill>
        </w:rPr>
        <w:t>ổ</w:t>
      </w:r>
      <w:r>
        <w:rPr>
          <w:b/>
          <w:color w:val="000000" w:themeColor="text1"/>
          <w:sz w:val="26"/>
          <w:szCs w:val="26"/>
          <w14:textFill>
            <w14:solidFill>
              <w14:schemeClr w14:val="tx1"/>
            </w14:solidFill>
          </w14:textFill>
        </w:rPr>
        <w:t xml:space="preserve">i quy </w:t>
      </w:r>
      <w:r>
        <w:rPr>
          <w:rFonts w:cs="Times New Roman"/>
          <w:b/>
          <w:color w:val="000000" w:themeColor="text1"/>
          <w:sz w:val="26"/>
          <w:szCs w:val="26"/>
          <w14:textFill>
            <w14:solidFill>
              <w14:schemeClr w14:val="tx1"/>
            </w14:solidFill>
          </w14:textFill>
        </w:rPr>
        <w:t>đị</w:t>
      </w:r>
      <w:r>
        <w:rPr>
          <w:b/>
          <w:color w:val="000000" w:themeColor="text1"/>
          <w:sz w:val="26"/>
          <w:szCs w:val="26"/>
          <w14:textFill>
            <w14:solidFill>
              <w14:schemeClr w14:val="tx1"/>
            </w14:solidFill>
          </w14:textFill>
        </w:rPr>
        <w:t>nh t</w:t>
      </w:r>
      <w:r>
        <w:rPr>
          <w:rFonts w:cs="Times New Roman"/>
          <w:b/>
          <w:color w:val="000000" w:themeColor="text1"/>
          <w:sz w:val="26"/>
          <w:szCs w:val="26"/>
          <w14:textFill>
            <w14:solidFill>
              <w14:schemeClr w14:val="tx1"/>
            </w14:solidFill>
          </w14:textFill>
        </w:rPr>
        <w:t>ạ</w:t>
      </w:r>
      <w:r>
        <w:rPr>
          <w:b/>
          <w:color w:val="000000" w:themeColor="text1"/>
          <w:sz w:val="26"/>
          <w:szCs w:val="26"/>
          <w14:textFill>
            <w14:solidFill>
              <w14:schemeClr w14:val="tx1"/>
            </w14:solidFill>
          </w14:textFill>
        </w:rPr>
        <w:t xml:space="preserve">i </w:t>
      </w:r>
      <w:r>
        <w:rPr>
          <w:rFonts w:cs="Times New Roman"/>
          <w:b/>
          <w:color w:val="000000" w:themeColor="text1"/>
          <w:sz w:val="26"/>
          <w:szCs w:val="26"/>
          <w14:textFill>
            <w14:solidFill>
              <w14:schemeClr w14:val="tx1"/>
            </w14:solidFill>
          </w14:textFill>
        </w:rPr>
        <w:t>đ</w:t>
      </w:r>
      <w:r>
        <w:rPr>
          <w:b/>
          <w:color w:val="000000" w:themeColor="text1"/>
          <w:sz w:val="26"/>
          <w:szCs w:val="26"/>
          <w14:textFill>
            <w14:solidFill>
              <w14:schemeClr w14:val="tx1"/>
            </w14:solidFill>
          </w14:textFill>
        </w:rPr>
        <w:t>i</w:t>
      </w:r>
      <w:r>
        <w:rPr>
          <w:rFonts w:cs="Times New Roman"/>
          <w:b/>
          <w:color w:val="000000" w:themeColor="text1"/>
          <w:sz w:val="26"/>
          <w:szCs w:val="26"/>
          <w14:textFill>
            <w14:solidFill>
              <w14:schemeClr w14:val="tx1"/>
            </w14:solidFill>
          </w14:textFill>
        </w:rPr>
        <w:t>ể</w:t>
      </w:r>
      <w:r>
        <w:rPr>
          <w:b/>
          <w:color w:val="000000" w:themeColor="text1"/>
          <w:sz w:val="26"/>
          <w:szCs w:val="26"/>
          <w14:textFill>
            <w14:solidFill>
              <w14:schemeClr w14:val="tx1"/>
            </w14:solidFill>
          </w14:textFill>
        </w:rPr>
        <w:t>m a kho</w:t>
      </w:r>
      <w:r>
        <w:rPr>
          <w:rFonts w:cs="Times New Roman"/>
          <w:b/>
          <w:color w:val="000000" w:themeColor="text1"/>
          <w:sz w:val="26"/>
          <w:szCs w:val="26"/>
          <w14:textFill>
            <w14:solidFill>
              <w14:schemeClr w14:val="tx1"/>
            </w14:solidFill>
          </w14:textFill>
        </w:rPr>
        <w:t>ả</w:t>
      </w:r>
      <w:r>
        <w:rPr>
          <w:b/>
          <w:color w:val="000000" w:themeColor="text1"/>
          <w:sz w:val="26"/>
          <w:szCs w:val="26"/>
          <w14:textFill>
            <w14:solidFill>
              <w14:schemeClr w14:val="tx1"/>
            </w14:solidFill>
          </w14:textFill>
        </w:rPr>
        <w:t xml:space="preserve">n 1 </w:t>
      </w:r>
      <w:r>
        <w:rPr>
          <w:rFonts w:cs="Times New Roman"/>
          <w:b/>
          <w:color w:val="000000" w:themeColor="text1"/>
          <w:sz w:val="26"/>
          <w:szCs w:val="26"/>
          <w14:textFill>
            <w14:solidFill>
              <w14:schemeClr w14:val="tx1"/>
            </w14:solidFill>
          </w14:textFill>
        </w:rPr>
        <w:t>Đ</w:t>
      </w:r>
      <w:r>
        <w:rPr>
          <w:b/>
          <w:color w:val="000000" w:themeColor="text1"/>
          <w:sz w:val="26"/>
          <w:szCs w:val="26"/>
          <w14:textFill>
            <w14:solidFill>
              <w14:schemeClr w14:val="tx1"/>
            </w14:solidFill>
          </w14:textFill>
        </w:rPr>
        <w:t>i</w:t>
      </w:r>
      <w:r>
        <w:rPr>
          <w:rFonts w:cs="Times New Roman"/>
          <w:b/>
          <w:color w:val="000000" w:themeColor="text1"/>
          <w:sz w:val="26"/>
          <w:szCs w:val="26"/>
          <w14:textFill>
            <w14:solidFill>
              <w14:schemeClr w14:val="tx1"/>
            </w14:solidFill>
          </w14:textFill>
        </w:rPr>
        <w:t>ề</w:t>
      </w:r>
      <w:r>
        <w:rPr>
          <w:b/>
          <w:color w:val="000000" w:themeColor="text1"/>
          <w:sz w:val="26"/>
          <w:szCs w:val="26"/>
          <w14:textFill>
            <w14:solidFill>
              <w14:schemeClr w14:val="tx1"/>
            </w14:solidFill>
          </w14:textFill>
        </w:rPr>
        <w:t>u 14 Ngh</w:t>
      </w:r>
      <w:r>
        <w:rPr>
          <w:rFonts w:cs="Times New Roman"/>
          <w:b/>
          <w:color w:val="000000" w:themeColor="text1"/>
          <w:sz w:val="26"/>
          <w:szCs w:val="26"/>
          <w14:textFill>
            <w14:solidFill>
              <w14:schemeClr w14:val="tx1"/>
            </w14:solidFill>
          </w14:textFill>
        </w:rPr>
        <w:t>ị</w:t>
      </w:r>
      <w:r>
        <w:rPr>
          <w:b/>
          <w:color w:val="000000" w:themeColor="text1"/>
          <w:sz w:val="26"/>
          <w:szCs w:val="26"/>
          <w14:textFill>
            <w14:solidFill>
              <w14:schemeClr w14:val="tx1"/>
            </w14:solidFill>
          </w14:textFill>
        </w:rPr>
        <w:t xml:space="preserve"> quy</w:t>
      </w:r>
      <w:r>
        <w:rPr>
          <w:rFonts w:cs="Times New Roman"/>
          <w:b/>
          <w:color w:val="000000" w:themeColor="text1"/>
          <w:sz w:val="26"/>
          <w:szCs w:val="26"/>
          <w14:textFill>
            <w14:solidFill>
              <w14:schemeClr w14:val="tx1"/>
            </w14:solidFill>
          </w14:textFill>
        </w:rPr>
        <w:t>ế</w:t>
      </w:r>
      <w:r>
        <w:rPr>
          <w:b/>
          <w:color w:val="000000" w:themeColor="text1"/>
          <w:sz w:val="26"/>
          <w:szCs w:val="26"/>
          <w14:textFill>
            <w14:solidFill>
              <w14:schemeClr w14:val="tx1"/>
            </w14:solidFill>
          </w14:textFill>
        </w:rPr>
        <w:t>t.</w:t>
      </w:r>
    </w:p>
    <w:p w14:paraId="15F6082D">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Họ và tên cha: ............................................. Họ và tên mẹ: ............................................</w:t>
      </w:r>
    </w:p>
    <w:p w14:paraId="263A7E22">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Cha hoặc mẹ đã chết: .....................................................  Ngày chết: ......../......../............</w:t>
      </w:r>
    </w:p>
    <w:p w14:paraId="11CED502">
      <w:pPr>
        <w:spacing w:after="60" w:line="254" w:lineRule="auto"/>
        <w:jc w:val="left"/>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Họ và tên cha hoặc mẹ còn lại: .................................................................................</w:t>
      </w:r>
    </w:p>
    <w:p w14:paraId="6D36A1E3">
      <w:pPr>
        <w:spacing w:after="60"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Tình trạng cha hoặc mẹ còn lại không có khả năng hoặc không trực tiếp thực hiện việc chăm sóc, nuôi dưỡng trẻ (nếu người khai biết): ...........................................</w:t>
      </w:r>
    </w:p>
    <w:p w14:paraId="4B82F491">
      <w:pPr>
        <w:spacing w:after="60"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Thông tin hộ nghèo không có khả năng lao động của trẻ (nếu biết): .......................</w:t>
      </w:r>
    </w:p>
    <w:p w14:paraId="2F0E3A32">
      <w:pPr>
        <w:spacing w:after="60"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Tình trạng của người đang trực tiếp chăm sóc, nuôi dưỡng trẻ:</w:t>
      </w:r>
    </w:p>
    <w:p w14:paraId="5F5BAAEA">
      <w:pPr>
        <w:spacing w:after="60" w:line="254" w:lineRule="auto"/>
        <w:rPr>
          <w:rFonts w:cs="Times New Roman"/>
          <w:color w:val="000000" w:themeColor="text1"/>
          <w:sz w:val="26"/>
          <w:szCs w:val="26"/>
          <w14:textFill>
            <w14:solidFill>
              <w14:schemeClr w14:val="tx1"/>
            </w14:solidFill>
          </w14:textFill>
        </w:rPr>
      </w:pP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Mắc bệnh hiểm nghèo theo Phụ lục IV (nếu biết, ghi tên bệnh): ..................</w:t>
      </w:r>
    </w:p>
    <w:p w14:paraId="69254EF3">
      <w:pPr>
        <w:spacing w:after="60" w:line="254" w:lineRule="auto"/>
        <w:rPr>
          <w:rFonts w:cs="Times New Roman"/>
          <w:color w:val="000000" w:themeColor="text1"/>
          <w:sz w:val="26"/>
          <w:szCs w:val="26"/>
          <w14:textFill>
            <w14:solidFill>
              <w14:schemeClr w14:val="tx1"/>
            </w14:solidFill>
          </w14:textFill>
        </w:rPr>
      </w:pP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Khuyết tật nặng/đặc biệt nặng    </w:t>
      </w: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Tuổi cao, sức khỏe suy giảm (mô tả): ...........</w:t>
      </w:r>
    </w:p>
    <w:p w14:paraId="0B70036A">
      <w:pPr>
        <w:spacing w:after="60" w:line="254" w:lineRule="auto"/>
        <w:rPr>
          <w:rFonts w:cs="Times New Roman"/>
          <w:color w:val="000000" w:themeColor="text1"/>
          <w:sz w:val="26"/>
          <w:szCs w:val="26"/>
          <w14:textFill>
            <w14:solidFill>
              <w14:schemeClr w14:val="tx1"/>
            </w14:solidFill>
          </w14:textFill>
        </w:rPr>
      </w:pP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2. Người khuyết tật thần kinh, tâm thần mức độ đặc biệt nặng thuộc hộ nghèo hoặc hộ cận nghèo theo điểm b khoản 1 Điều 14</w:t>
      </w:r>
    </w:p>
    <w:p w14:paraId="0FB3F3B2">
      <w:pPr>
        <w:spacing w:after="60"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Dạng khuyết tật:....................................Mức độ: ....................................................</w:t>
      </w:r>
    </w:p>
    <w:p w14:paraId="71C99CE7">
      <w:pPr>
        <w:spacing w:after="60"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Giấy xác nhận khuyết tật số (nếu biết): ......................... ngày cấp: ....../....../........</w:t>
      </w:r>
    </w:p>
    <w:p w14:paraId="3977F8AF">
      <w:pPr>
        <w:spacing w:after="60"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Nhu cầu, nguyện vọng được chăm sóc, nuôi dưỡng thường xuyên tại Bệnh viện Sức khỏe tâm thần Hà Tĩnh: ...............................................................</w:t>
      </w:r>
    </w:p>
    <w:p w14:paraId="14062E20">
      <w:pPr>
        <w:spacing w:before="100" w:after="60" w:line="254" w:lineRule="auto"/>
        <w:rPr>
          <w:rFonts w:cs="Times New Roman"/>
          <w:b/>
          <w:color w:val="000000" w:themeColor="text1"/>
          <w:sz w:val="26"/>
          <w:szCs w:val="26"/>
          <w14:textFill>
            <w14:solidFill>
              <w14:schemeClr w14:val="tx1"/>
            </w14:solidFill>
          </w14:textFill>
        </w:rPr>
      </w:pPr>
      <w:r>
        <w:rPr>
          <w:rFonts w:cs="Times New Roman"/>
          <w:b/>
          <w:color w:val="000000" w:themeColor="text1"/>
          <w:sz w:val="26"/>
          <w:szCs w:val="26"/>
          <w14:textFill>
            <w14:solidFill>
              <w14:schemeClr w14:val="tx1"/>
            </w14:solidFill>
          </w14:textFill>
        </w:rPr>
        <w:t>IV. NGUYỆN VỌNG VÀ CAM KẾT</w:t>
      </w:r>
    </w:p>
    <w:p w14:paraId="1C030F87">
      <w:pPr>
        <w:spacing w:after="60"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1. Đề nghị được tiếp nhận, chăm sóc, nuôi dưỡng tại:</w:t>
      </w:r>
    </w:p>
    <w:p w14:paraId="62DC1A5D">
      <w:pPr>
        <w:spacing w:after="60" w:line="254" w:lineRule="auto"/>
        <w:rPr>
          <w:rFonts w:cs="Times New Roman"/>
          <w:color w:val="000000" w:themeColor="text1"/>
          <w:sz w:val="26"/>
          <w:szCs w:val="26"/>
          <w14:textFill>
            <w14:solidFill>
              <w14:schemeClr w14:val="tx1"/>
            </w14:solidFill>
          </w14:textFill>
        </w:rPr>
      </w:pP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Cơ sở trợ giúp xã hội công lập phù hợp       </w:t>
      </w:r>
      <w:r>
        <w:rPr>
          <w:rFonts w:ascii="Segoe UI Symbol" w:hAnsi="Segoe UI Symbol" w:cs="Segoe UI Symbol"/>
          <w:color w:val="000000" w:themeColor="text1"/>
          <w:sz w:val="26"/>
          <w:szCs w:val="26"/>
          <w14:textFill>
            <w14:solidFill>
              <w14:schemeClr w14:val="tx1"/>
            </w14:solidFill>
          </w14:textFill>
        </w:rPr>
        <w:t>☐</w:t>
      </w:r>
      <w:r>
        <w:rPr>
          <w:rFonts w:cs="Times New Roman"/>
          <w:color w:val="000000" w:themeColor="text1"/>
          <w:sz w:val="26"/>
          <w:szCs w:val="26"/>
          <w14:textFill>
            <w14:solidFill>
              <w14:schemeClr w14:val="tx1"/>
            </w14:solidFill>
          </w14:textFill>
        </w:rPr>
        <w:t xml:space="preserve"> Bệnh viện Sức khỏe tâm thần Hà Tĩnh</w:t>
      </w:r>
    </w:p>
    <w:p w14:paraId="6A17C635">
      <w:pPr>
        <w:spacing w:after="60"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Cơ sở cụ thể có nguyện vọng (nếu biết): ....................................................</w:t>
      </w:r>
    </w:p>
    <w:p w14:paraId="665D1C1C">
      <w:pPr>
        <w:spacing w:after="60"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2. Nguyện vọng của người được đề nghị tiếp nhận (nếu có): ..................................</w:t>
      </w:r>
    </w:p>
    <w:p w14:paraId="1E59E80F">
      <w:pPr>
        <w:spacing w:after="60"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Tài liệu gửi kèm (nếu có và chưa được khai thác, xác thực): ...................................</w:t>
      </w:r>
    </w:p>
    <w:p w14:paraId="497E1D0B">
      <w:pPr>
        <w:spacing w:after="60"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Tôi đề nghị cơ quan có thẩm quyền xem xét tiếp nhận, chăm sóc, nuôi dưỡng theo quy định; cam đoan những thông tin đã kê khai là đúng sự thật và phối hợp cung cấp thông tin phục vụ xác minh, chăm sóc an toàn.</w:t>
      </w:r>
    </w:p>
    <w:p w14:paraId="2CD6D06A">
      <w:pPr>
        <w:spacing w:after="60" w:line="254" w:lineRule="auto"/>
        <w:jc w:val="right"/>
        <w:rPr>
          <w:color w:val="000000" w:themeColor="text1"/>
          <w:sz w:val="26"/>
          <w:szCs w:val="26"/>
          <w14:textFill>
            <w14:solidFill>
              <w14:schemeClr w14:val="tx1"/>
            </w14:solidFill>
          </w14:textFill>
        </w:rPr>
      </w:pPr>
      <w:r>
        <w:rPr>
          <w:i/>
          <w:color w:val="000000" w:themeColor="text1"/>
          <w:sz w:val="26"/>
          <w:szCs w:val="26"/>
          <w14:textFill>
            <w14:solidFill>
              <w14:schemeClr w14:val="tx1"/>
            </w14:solidFill>
          </w14:textFill>
        </w:rPr>
        <w:t>................., ngày ...... tháng ...... năm ........</w:t>
      </w:r>
    </w:p>
    <w:tbl>
      <w:tblPr>
        <w:tblStyle w:val="12"/>
        <w:tblW w:w="0" w:type="auto"/>
        <w:tblInd w:w="0" w:type="dxa"/>
        <w:tblLayout w:type="fixed"/>
        <w:tblCellMar>
          <w:top w:w="0" w:type="dxa"/>
          <w:left w:w="108" w:type="dxa"/>
          <w:bottom w:w="0" w:type="dxa"/>
          <w:right w:w="108" w:type="dxa"/>
        </w:tblCellMar>
      </w:tblPr>
      <w:tblGrid>
        <w:gridCol w:w="4564"/>
        <w:gridCol w:w="4564"/>
      </w:tblGrid>
      <w:tr w14:paraId="69F09F58">
        <w:tblPrEx>
          <w:tblCellMar>
            <w:top w:w="0" w:type="dxa"/>
            <w:left w:w="108" w:type="dxa"/>
            <w:bottom w:w="0" w:type="dxa"/>
            <w:right w:w="108" w:type="dxa"/>
          </w:tblCellMar>
        </w:tblPrEx>
        <w:tc>
          <w:tcPr>
            <w:tcW w:w="4564" w:type="dxa"/>
            <w:vAlign w:val="center"/>
          </w:tcPr>
          <w:p w14:paraId="5E4CD60D">
            <w:pPr>
              <w:spacing w:after="20" w:line="254" w:lineRule="auto"/>
              <w:jc w:val="center"/>
              <w:rPr>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NGƯỜI TIẾP NHẬN TỜ KHAI</w:t>
            </w:r>
          </w:p>
        </w:tc>
        <w:tc>
          <w:tcPr>
            <w:tcW w:w="4564" w:type="dxa"/>
            <w:vAlign w:val="center"/>
          </w:tcPr>
          <w:p w14:paraId="77E825D5">
            <w:pPr>
              <w:spacing w:after="20" w:line="254" w:lineRule="auto"/>
              <w:jc w:val="center"/>
              <w:rPr>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NGƯỜI KHAI</w:t>
            </w:r>
          </w:p>
        </w:tc>
      </w:tr>
      <w:tr w14:paraId="2AD61BC4">
        <w:tblPrEx>
          <w:tblCellMar>
            <w:top w:w="0" w:type="dxa"/>
            <w:left w:w="108" w:type="dxa"/>
            <w:bottom w:w="0" w:type="dxa"/>
            <w:right w:w="108" w:type="dxa"/>
          </w:tblCellMar>
        </w:tblPrEx>
        <w:tc>
          <w:tcPr>
            <w:tcW w:w="4564" w:type="dxa"/>
            <w:vAlign w:val="center"/>
          </w:tcPr>
          <w:p w14:paraId="051C0087">
            <w:pPr>
              <w:spacing w:after="60" w:line="254" w:lineRule="auto"/>
              <w:jc w:val="center"/>
              <w:rPr>
                <w:color w:val="000000" w:themeColor="text1"/>
                <w:sz w:val="26"/>
                <w:szCs w:val="26"/>
                <w14:textFill>
                  <w14:solidFill>
                    <w14:schemeClr w14:val="tx1"/>
                  </w14:solidFill>
                </w14:textFill>
              </w:rPr>
            </w:pPr>
            <w:r>
              <w:rPr>
                <w:i/>
                <w:color w:val="000000" w:themeColor="text1"/>
                <w:sz w:val="26"/>
                <w:szCs w:val="26"/>
                <w14:textFill>
                  <w14:solidFill>
                    <w14:schemeClr w14:val="tx1"/>
                  </w14:solidFill>
                </w14:textFill>
              </w:rPr>
              <w:t>(Ký, ghi rõ họ tên nếu nhận trực tiếp)</w:t>
            </w:r>
          </w:p>
        </w:tc>
        <w:tc>
          <w:tcPr>
            <w:tcW w:w="4564" w:type="dxa"/>
            <w:vAlign w:val="center"/>
          </w:tcPr>
          <w:p w14:paraId="455B35A9">
            <w:pPr>
              <w:spacing w:after="60" w:line="254" w:lineRule="auto"/>
              <w:jc w:val="center"/>
              <w:rPr>
                <w:color w:val="000000" w:themeColor="text1"/>
                <w:sz w:val="26"/>
                <w:szCs w:val="26"/>
                <w14:textFill>
                  <w14:solidFill>
                    <w14:schemeClr w14:val="tx1"/>
                  </w14:solidFill>
                </w14:textFill>
              </w:rPr>
            </w:pPr>
            <w:r>
              <w:rPr>
                <w:i/>
                <w:color w:val="000000" w:themeColor="text1"/>
                <w:sz w:val="26"/>
                <w:szCs w:val="26"/>
                <w14:textFill>
                  <w14:solidFill>
                    <w14:schemeClr w14:val="tx1"/>
                  </w14:solidFill>
                </w14:textFill>
              </w:rPr>
              <w:t>(Ký, ghi rõ họ tên hoặc điểm chỉ)</w:t>
            </w:r>
          </w:p>
        </w:tc>
      </w:tr>
    </w:tbl>
    <w:p w14:paraId="1DE5C2BE">
      <w:pPr>
        <w:spacing w:before="180" w:after="40" w:line="254" w:lineRule="auto"/>
        <w:jc w:val="left"/>
        <w:rPr>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Ghi chú:</w:t>
      </w:r>
    </w:p>
    <w:p w14:paraId="29E8D683">
      <w:pPr>
        <w:spacing w:after="40"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1. Chỉ kê khai thông tin liên quan đến nhóm đề nghị tiếp nhận. Thông tin đã được cơ quan giải quyết khai thác, xác thực hợp lệ từ cơ sở dữ liệu hoặc hồ sơ quản lý thì không phải cung cấp lại. Kết quả rà soát chăm sóc thay thế tại gia đình, cộng đồng do Ủy ban nhân dân cấp xã lập, không yêu cầu người dân xin giấy xác nhận riêng.</w:t>
      </w:r>
    </w:p>
    <w:p w14:paraId="185344C9">
      <w:pPr>
        <w:spacing w:after="40" w:line="254" w:lineRule="auto"/>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2. Ủy ban nhân dân cấp xã xác minh các điều kiện tương ứng theo khoản 1 và khoản 2 Điều 14; đối với trẻ em phải làm rõ việc cha hoặc mẹ còn lại không có khả năng hoặc không thực hiện trách nhiệm chăm sóc, tình trạng người chăm sóc trực tiếp, việc bảo đảm nhu cầu thiết yếu, an toàn cho trẻ và kết quả xem xét phương án chăm sóc thay thế tại gia đình, cộng đồng. Kết quả được lập thành biên bản, lưu hồ sơ giải quyết.</w:t>
      </w:r>
    </w:p>
    <w:p w14:paraId="1256DB34">
      <w:pPr>
        <w:jc w:val="right"/>
        <w:rPr>
          <w:b/>
          <w:color w:val="000000" w:themeColor="text1"/>
          <w:sz w:val="26"/>
          <w:szCs w:val="26"/>
          <w14:textFill>
            <w14:solidFill>
              <w14:schemeClr w14:val="tx1"/>
            </w14:solidFill>
          </w14:textFill>
        </w:rPr>
      </w:pPr>
      <w:r>
        <w:rPr>
          <w:b/>
          <w:color w:val="000000" w:themeColor="text1"/>
          <w:sz w:val="26"/>
          <w:szCs w:val="26"/>
          <w14:textFill>
            <w14:solidFill>
              <w14:schemeClr w14:val="tx1"/>
            </w14:solidFill>
          </w14:textFill>
        </w:rPr>
        <w:t>.</w:t>
      </w:r>
    </w:p>
    <w:p w14:paraId="4B6325A7">
      <w:pPr>
        <w:jc w:val="right"/>
        <w:rPr>
          <w:b/>
          <w:color w:val="000000" w:themeColor="text1"/>
          <w:sz w:val="26"/>
          <w:szCs w:val="26"/>
          <w14:textFill>
            <w14:solidFill>
              <w14:schemeClr w14:val="tx1"/>
            </w14:solidFill>
          </w14:textFill>
        </w:rPr>
      </w:pPr>
    </w:p>
    <w:p w14:paraId="3B38F5EC">
      <w:pPr>
        <w:jc w:val="right"/>
        <w:rPr>
          <w:b/>
          <w:color w:val="000000" w:themeColor="text1"/>
          <w:sz w:val="26"/>
          <w:szCs w:val="26"/>
          <w14:textFill>
            <w14:solidFill>
              <w14:schemeClr w14:val="tx1"/>
            </w14:solidFill>
          </w14:textFill>
        </w:rPr>
      </w:pPr>
    </w:p>
    <w:p w14:paraId="05C21503">
      <w:pPr>
        <w:jc w:val="right"/>
        <w:rPr>
          <w:b/>
          <w:color w:val="000000" w:themeColor="text1"/>
          <w:sz w:val="26"/>
          <w:szCs w:val="26"/>
          <w14:textFill>
            <w14:solidFill>
              <w14:schemeClr w14:val="tx1"/>
            </w14:solidFill>
          </w14:textFill>
        </w:rPr>
      </w:pPr>
    </w:p>
    <w:p w14:paraId="766C8F7E">
      <w:pPr>
        <w:jc w:val="right"/>
        <w:rPr>
          <w:b/>
          <w:color w:val="000000" w:themeColor="text1"/>
          <w:sz w:val="26"/>
          <w:szCs w:val="26"/>
          <w14:textFill>
            <w14:solidFill>
              <w14:schemeClr w14:val="tx1"/>
            </w14:solidFill>
          </w14:textFill>
        </w:rPr>
      </w:pPr>
    </w:p>
    <w:p w14:paraId="68AF5C1C">
      <w:pPr>
        <w:jc w:val="right"/>
        <w:rPr>
          <w:b/>
          <w:color w:val="000000" w:themeColor="text1"/>
          <w14:textFill>
            <w14:solidFill>
              <w14:schemeClr w14:val="tx1"/>
            </w14:solidFill>
          </w14:textFill>
        </w:rPr>
      </w:pPr>
    </w:p>
    <w:p w14:paraId="1A2A0FF1">
      <w:pPr>
        <w:jc w:val="right"/>
        <w:rPr>
          <w:b/>
          <w:color w:val="000000" w:themeColor="text1"/>
          <w14:textFill>
            <w14:solidFill>
              <w14:schemeClr w14:val="tx1"/>
            </w14:solidFill>
          </w14:textFill>
        </w:rPr>
      </w:pPr>
    </w:p>
    <w:p w14:paraId="4C0CEE64">
      <w:pPr>
        <w:jc w:val="right"/>
        <w:rPr>
          <w:b/>
          <w:color w:val="000000" w:themeColor="text1"/>
          <w14:textFill>
            <w14:solidFill>
              <w14:schemeClr w14:val="tx1"/>
            </w14:solidFill>
          </w14:textFill>
        </w:rPr>
      </w:pPr>
    </w:p>
    <w:p w14:paraId="04E15AE9">
      <w:pPr>
        <w:jc w:val="right"/>
        <w:rPr>
          <w:b/>
          <w:color w:val="000000" w:themeColor="text1"/>
          <w14:textFill>
            <w14:solidFill>
              <w14:schemeClr w14:val="tx1"/>
            </w14:solidFill>
          </w14:textFill>
        </w:rPr>
      </w:pPr>
    </w:p>
    <w:p w14:paraId="1FE51445">
      <w:pPr>
        <w:pageBreakBefore/>
        <w:spacing w:after="0" w:line="240" w:lineRule="auto"/>
        <w:jc w:val="center"/>
        <w:rPr>
          <w:color w:val="000000" w:themeColor="text1"/>
          <w14:textFill>
            <w14:solidFill>
              <w14:schemeClr w14:val="tx1"/>
            </w14:solidFill>
          </w14:textFill>
        </w:rPr>
      </w:pPr>
      <w:r>
        <w:rPr>
          <w:b/>
          <w:color w:val="000000" w:themeColor="text1"/>
          <w14:textFill>
            <w14:solidFill>
              <w14:schemeClr w14:val="tx1"/>
            </w14:solidFill>
          </w14:textFill>
        </w:rPr>
        <w:t>Phụ lục IV</w:t>
      </w:r>
    </w:p>
    <w:p w14:paraId="499D6371">
      <w:pPr>
        <w:spacing w:after="0" w:line="240" w:lineRule="auto"/>
        <w:jc w:val="center"/>
        <w:rPr>
          <w:b/>
          <w:color w:val="000000" w:themeColor="text1"/>
          <w14:textFill>
            <w14:solidFill>
              <w14:schemeClr w14:val="tx1"/>
            </w14:solidFill>
          </w14:textFill>
        </w:rPr>
      </w:pPr>
      <w:r>
        <w:rPr>
          <w:b/>
          <w:color w:val="000000" w:themeColor="text1"/>
          <w14:textFill>
            <w14:solidFill>
              <w14:schemeClr w14:val="tx1"/>
            </w14:solidFill>
          </w14:textFill>
        </w:rPr>
        <w:t>DANH MỤC BỆNH HIỂM NGHÈO</w:t>
      </w:r>
    </w:p>
    <w:p w14:paraId="18262984">
      <w:pPr>
        <w:spacing w:after="0" w:line="240" w:lineRule="auto"/>
        <w:jc w:val="center"/>
        <w:rPr>
          <w:i/>
          <w:color w:val="000000" w:themeColor="text1"/>
          <w14:textFill>
            <w14:solidFill>
              <w14:schemeClr w14:val="tx1"/>
            </w14:solidFill>
          </w14:textFill>
        </w:rPr>
      </w:pPr>
      <w:r>
        <w:rPr>
          <w:i/>
          <w:color w:val="000000" w:themeColor="text1"/>
          <w14:textFill>
            <w14:solidFill>
              <w14:schemeClr w14:val="tx1"/>
            </w14:solidFill>
          </w14:textFill>
        </w:rPr>
        <w:t>(Kèm theo Nghị quyết số      /2026/NQ-HĐND ngày      tháng      năm 2026 của Hội đồng nhân dân tỉnh Hà Tĩnh)</w:t>
      </w:r>
    </w:p>
    <w:p w14:paraId="58B5FA59">
      <w:pPr>
        <w:spacing w:after="0" w:line="240" w:lineRule="auto"/>
        <w:jc w:val="center"/>
        <w:rPr>
          <w:color w:val="000000" w:themeColor="text1"/>
          <w14:textFill>
            <w14:solidFill>
              <w14:schemeClr w14:val="tx1"/>
            </w14:solidFill>
          </w14:textFill>
        </w:rPr>
      </w:pP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46"/>
        <w:gridCol w:w="3784"/>
        <w:gridCol w:w="746"/>
        <w:gridCol w:w="3785"/>
      </w:tblGrid>
      <w:tr w14:paraId="09C49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46" w:type="dxa"/>
            <w:shd w:val="clear" w:color="auto" w:fill="D9D9D9"/>
          </w:tcPr>
          <w:p w14:paraId="52B37D47">
            <w:pPr>
              <w:spacing w:before="40" w:after="40" w:line="276" w:lineRule="auto"/>
              <w:jc w:val="center"/>
              <w:rPr>
                <w:color w:val="000000" w:themeColor="text1"/>
                <w14:textFill>
                  <w14:solidFill>
                    <w14:schemeClr w14:val="tx1"/>
                  </w14:solidFill>
                </w14:textFill>
              </w:rPr>
            </w:pPr>
            <w:r>
              <w:rPr>
                <w:b/>
                <w:color w:val="000000" w:themeColor="text1"/>
                <w14:textFill>
                  <w14:solidFill>
                    <w14:schemeClr w14:val="tx1"/>
                  </w14:solidFill>
                </w14:textFill>
              </w:rPr>
              <w:t>STT</w:t>
            </w:r>
          </w:p>
        </w:tc>
        <w:tc>
          <w:tcPr>
            <w:tcW w:w="3784" w:type="dxa"/>
            <w:shd w:val="clear" w:color="auto" w:fill="D9D9D9"/>
          </w:tcPr>
          <w:p w14:paraId="2E8E8566">
            <w:pPr>
              <w:spacing w:before="40" w:after="40" w:line="276" w:lineRule="auto"/>
              <w:jc w:val="center"/>
              <w:rPr>
                <w:color w:val="000000" w:themeColor="text1"/>
                <w14:textFill>
                  <w14:solidFill>
                    <w14:schemeClr w14:val="tx1"/>
                  </w14:solidFill>
                </w14:textFill>
              </w:rPr>
            </w:pPr>
            <w:r>
              <w:rPr>
                <w:b/>
                <w:color w:val="000000" w:themeColor="text1"/>
                <w14:textFill>
                  <w14:solidFill>
                    <w14:schemeClr w14:val="tx1"/>
                  </w14:solidFill>
                </w14:textFill>
              </w:rPr>
              <w:t>Tên bệnh hoặc tình trạng bệnh</w:t>
            </w:r>
          </w:p>
        </w:tc>
        <w:tc>
          <w:tcPr>
            <w:tcW w:w="746" w:type="dxa"/>
            <w:shd w:val="clear" w:color="auto" w:fill="D9D9D9"/>
          </w:tcPr>
          <w:p w14:paraId="753A1154">
            <w:pPr>
              <w:spacing w:before="40" w:after="40" w:line="276" w:lineRule="auto"/>
              <w:jc w:val="center"/>
              <w:rPr>
                <w:color w:val="000000" w:themeColor="text1"/>
                <w14:textFill>
                  <w14:solidFill>
                    <w14:schemeClr w14:val="tx1"/>
                  </w14:solidFill>
                </w14:textFill>
              </w:rPr>
            </w:pPr>
            <w:r>
              <w:rPr>
                <w:b/>
                <w:color w:val="000000" w:themeColor="text1"/>
                <w14:textFill>
                  <w14:solidFill>
                    <w14:schemeClr w14:val="tx1"/>
                  </w14:solidFill>
                </w14:textFill>
              </w:rPr>
              <w:t>STT</w:t>
            </w:r>
          </w:p>
        </w:tc>
        <w:tc>
          <w:tcPr>
            <w:tcW w:w="3785" w:type="dxa"/>
            <w:shd w:val="clear" w:color="auto" w:fill="D9D9D9"/>
          </w:tcPr>
          <w:p w14:paraId="2FAA8754">
            <w:pPr>
              <w:spacing w:before="40" w:after="40" w:line="276" w:lineRule="auto"/>
              <w:jc w:val="center"/>
              <w:rPr>
                <w:color w:val="000000" w:themeColor="text1"/>
                <w14:textFill>
                  <w14:solidFill>
                    <w14:schemeClr w14:val="tx1"/>
                  </w14:solidFill>
                </w14:textFill>
              </w:rPr>
            </w:pPr>
            <w:r>
              <w:rPr>
                <w:b/>
                <w:color w:val="000000" w:themeColor="text1"/>
                <w14:textFill>
                  <w14:solidFill>
                    <w14:schemeClr w14:val="tx1"/>
                  </w14:solidFill>
                </w14:textFill>
              </w:rPr>
              <w:t>Tên bệnh hoặc tình trạng bệnh</w:t>
            </w:r>
          </w:p>
        </w:tc>
      </w:tr>
      <w:tr w14:paraId="6187E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58C37B88">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1</w:t>
            </w:r>
          </w:p>
        </w:tc>
        <w:tc>
          <w:tcPr>
            <w:tcW w:w="3784" w:type="dxa"/>
          </w:tcPr>
          <w:p w14:paraId="605361A2">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Ung thư</w:t>
            </w:r>
          </w:p>
        </w:tc>
        <w:tc>
          <w:tcPr>
            <w:tcW w:w="746" w:type="dxa"/>
          </w:tcPr>
          <w:p w14:paraId="060D5777">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22</w:t>
            </w:r>
          </w:p>
        </w:tc>
        <w:tc>
          <w:tcPr>
            <w:tcW w:w="3785" w:type="dxa"/>
          </w:tcPr>
          <w:p w14:paraId="13B357C6">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Mất hai chi</w:t>
            </w:r>
          </w:p>
        </w:tc>
      </w:tr>
      <w:tr w14:paraId="52076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107CDFAF">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2</w:t>
            </w:r>
          </w:p>
        </w:tc>
        <w:tc>
          <w:tcPr>
            <w:tcW w:w="3784" w:type="dxa"/>
          </w:tcPr>
          <w:p w14:paraId="36FDC322">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Nhồi máu cơ tim lần đầu</w:t>
            </w:r>
          </w:p>
        </w:tc>
        <w:tc>
          <w:tcPr>
            <w:tcW w:w="746" w:type="dxa"/>
          </w:tcPr>
          <w:p w14:paraId="74E2D576">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23</w:t>
            </w:r>
          </w:p>
        </w:tc>
        <w:tc>
          <w:tcPr>
            <w:tcW w:w="3785" w:type="dxa"/>
          </w:tcPr>
          <w:p w14:paraId="629AAB6B">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Mất thính lực</w:t>
            </w:r>
          </w:p>
        </w:tc>
      </w:tr>
      <w:tr w14:paraId="47B8A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6843CCD0">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3</w:t>
            </w:r>
          </w:p>
        </w:tc>
        <w:tc>
          <w:tcPr>
            <w:tcW w:w="3784" w:type="dxa"/>
          </w:tcPr>
          <w:p w14:paraId="4B4C2159">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Phẫu thuật động mạch vành</w:t>
            </w:r>
          </w:p>
        </w:tc>
        <w:tc>
          <w:tcPr>
            <w:tcW w:w="746" w:type="dxa"/>
          </w:tcPr>
          <w:p w14:paraId="3B91DD66">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24</w:t>
            </w:r>
          </w:p>
        </w:tc>
        <w:tc>
          <w:tcPr>
            <w:tcW w:w="3785" w:type="dxa"/>
          </w:tcPr>
          <w:p w14:paraId="072A281D">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Mất khả năng phát âm</w:t>
            </w:r>
          </w:p>
        </w:tc>
      </w:tr>
      <w:tr w14:paraId="79D50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3ACEC5A5">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4</w:t>
            </w:r>
          </w:p>
        </w:tc>
        <w:tc>
          <w:tcPr>
            <w:tcW w:w="3784" w:type="dxa"/>
          </w:tcPr>
          <w:p w14:paraId="4321432E">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Phẫu thuật thay van tim</w:t>
            </w:r>
          </w:p>
        </w:tc>
        <w:tc>
          <w:tcPr>
            <w:tcW w:w="746" w:type="dxa"/>
          </w:tcPr>
          <w:p w14:paraId="411863BE">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25</w:t>
            </w:r>
          </w:p>
        </w:tc>
        <w:tc>
          <w:tcPr>
            <w:tcW w:w="3785" w:type="dxa"/>
          </w:tcPr>
          <w:p w14:paraId="798145A2">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Thương tật toàn bộ và vĩnh viễn</w:t>
            </w:r>
          </w:p>
        </w:tc>
      </w:tr>
      <w:tr w14:paraId="29FC8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1019816E">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5</w:t>
            </w:r>
          </w:p>
        </w:tc>
        <w:tc>
          <w:tcPr>
            <w:tcW w:w="3784" w:type="dxa"/>
          </w:tcPr>
          <w:p w14:paraId="4E60D7E0">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Phẫu thuật động mạch chủ</w:t>
            </w:r>
          </w:p>
        </w:tc>
        <w:tc>
          <w:tcPr>
            <w:tcW w:w="746" w:type="dxa"/>
          </w:tcPr>
          <w:p w14:paraId="56B41E31">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26</w:t>
            </w:r>
          </w:p>
        </w:tc>
        <w:tc>
          <w:tcPr>
            <w:tcW w:w="3785" w:type="dxa"/>
          </w:tcPr>
          <w:p w14:paraId="39853436">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Suy thận</w:t>
            </w:r>
          </w:p>
        </w:tc>
      </w:tr>
      <w:tr w14:paraId="11D9A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0C63B6FE">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6</w:t>
            </w:r>
          </w:p>
        </w:tc>
        <w:tc>
          <w:tcPr>
            <w:tcW w:w="3784" w:type="dxa"/>
          </w:tcPr>
          <w:p w14:paraId="0E737083">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Đột quỵ</w:t>
            </w:r>
          </w:p>
        </w:tc>
        <w:tc>
          <w:tcPr>
            <w:tcW w:w="746" w:type="dxa"/>
          </w:tcPr>
          <w:p w14:paraId="266F38CC">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27</w:t>
            </w:r>
          </w:p>
        </w:tc>
        <w:tc>
          <w:tcPr>
            <w:tcW w:w="3785" w:type="dxa"/>
          </w:tcPr>
          <w:p w14:paraId="414216B0">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Bệnh nang tủy thận</w:t>
            </w:r>
          </w:p>
        </w:tc>
      </w:tr>
      <w:tr w14:paraId="40BFD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6358AF21">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7</w:t>
            </w:r>
          </w:p>
        </w:tc>
        <w:tc>
          <w:tcPr>
            <w:tcW w:w="3784" w:type="dxa"/>
          </w:tcPr>
          <w:p w14:paraId="25AB3DF4">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Hôn mê</w:t>
            </w:r>
          </w:p>
        </w:tc>
        <w:tc>
          <w:tcPr>
            <w:tcW w:w="746" w:type="dxa"/>
          </w:tcPr>
          <w:p w14:paraId="6A0DF4EA">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28</w:t>
            </w:r>
          </w:p>
        </w:tc>
        <w:tc>
          <w:tcPr>
            <w:tcW w:w="3785" w:type="dxa"/>
          </w:tcPr>
          <w:p w14:paraId="497C7645">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Viêm tụy mạn tính tái phát</w:t>
            </w:r>
          </w:p>
        </w:tc>
      </w:tr>
      <w:tr w14:paraId="27207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564B56ED">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8</w:t>
            </w:r>
          </w:p>
        </w:tc>
        <w:tc>
          <w:tcPr>
            <w:tcW w:w="3784" w:type="dxa"/>
          </w:tcPr>
          <w:p w14:paraId="76311CFE">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Bệnh xơ cứng rải rác</w:t>
            </w:r>
          </w:p>
        </w:tc>
        <w:tc>
          <w:tcPr>
            <w:tcW w:w="746" w:type="dxa"/>
          </w:tcPr>
          <w:p w14:paraId="60BDE94F">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29</w:t>
            </w:r>
          </w:p>
        </w:tc>
        <w:tc>
          <w:tcPr>
            <w:tcW w:w="3785" w:type="dxa"/>
          </w:tcPr>
          <w:p w14:paraId="71B2AA28">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Suy gan</w:t>
            </w:r>
          </w:p>
        </w:tc>
      </w:tr>
      <w:tr w14:paraId="09694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79E4CE82">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9</w:t>
            </w:r>
          </w:p>
        </w:tc>
        <w:tc>
          <w:tcPr>
            <w:tcW w:w="3784" w:type="dxa"/>
          </w:tcPr>
          <w:p w14:paraId="30296C3E">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Bệnh xơ cứng cột bên teo cơ</w:t>
            </w:r>
          </w:p>
        </w:tc>
        <w:tc>
          <w:tcPr>
            <w:tcW w:w="746" w:type="dxa"/>
          </w:tcPr>
          <w:p w14:paraId="406C0896">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tcPr>
            <w:tcW w:w="3785" w:type="dxa"/>
          </w:tcPr>
          <w:p w14:paraId="69ADBA13">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Bệnh Lupus ban đỏ</w:t>
            </w:r>
          </w:p>
        </w:tc>
      </w:tr>
      <w:tr w14:paraId="433A2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5256859D">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10</w:t>
            </w:r>
          </w:p>
        </w:tc>
        <w:tc>
          <w:tcPr>
            <w:tcW w:w="3784" w:type="dxa"/>
          </w:tcPr>
          <w:p w14:paraId="24F75DD4">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Bệnh Parkinson</w:t>
            </w:r>
          </w:p>
        </w:tc>
        <w:tc>
          <w:tcPr>
            <w:tcW w:w="746" w:type="dxa"/>
          </w:tcPr>
          <w:p w14:paraId="0AA492B4">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31</w:t>
            </w:r>
          </w:p>
        </w:tc>
        <w:tc>
          <w:tcPr>
            <w:tcW w:w="3785" w:type="dxa"/>
          </w:tcPr>
          <w:p w14:paraId="00C18F7D">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Ghép cơ quan (ghép tim, ghép gan, ghép thận)</w:t>
            </w:r>
          </w:p>
        </w:tc>
      </w:tr>
      <w:tr w14:paraId="566FD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0E30C2EB">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11</w:t>
            </w:r>
          </w:p>
        </w:tc>
        <w:tc>
          <w:tcPr>
            <w:tcW w:w="3784" w:type="dxa"/>
          </w:tcPr>
          <w:p w14:paraId="32E6844D">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Viêm màng não do vi khuẩn</w:t>
            </w:r>
          </w:p>
        </w:tc>
        <w:tc>
          <w:tcPr>
            <w:tcW w:w="746" w:type="dxa"/>
          </w:tcPr>
          <w:p w14:paraId="59FD23DD">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32</w:t>
            </w:r>
          </w:p>
        </w:tc>
        <w:tc>
          <w:tcPr>
            <w:tcW w:w="3785" w:type="dxa"/>
          </w:tcPr>
          <w:p w14:paraId="3A972652">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Bệnh lao phổi tiến triển</w:t>
            </w:r>
          </w:p>
        </w:tc>
      </w:tr>
      <w:tr w14:paraId="238FF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14F80BC7">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12</w:t>
            </w:r>
          </w:p>
        </w:tc>
        <w:tc>
          <w:tcPr>
            <w:tcW w:w="3784" w:type="dxa"/>
          </w:tcPr>
          <w:p w14:paraId="1FC708BD">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Viêm não nặng</w:t>
            </w:r>
          </w:p>
        </w:tc>
        <w:tc>
          <w:tcPr>
            <w:tcW w:w="746" w:type="dxa"/>
          </w:tcPr>
          <w:p w14:paraId="45BFCB9C">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33</w:t>
            </w:r>
          </w:p>
        </w:tc>
        <w:tc>
          <w:tcPr>
            <w:tcW w:w="3785" w:type="dxa"/>
          </w:tcPr>
          <w:p w14:paraId="74A180BF">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Bỏng nặng</w:t>
            </w:r>
          </w:p>
        </w:tc>
      </w:tr>
      <w:tr w14:paraId="678F6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5C6EA224">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13</w:t>
            </w:r>
          </w:p>
        </w:tc>
        <w:tc>
          <w:tcPr>
            <w:tcW w:w="3784" w:type="dxa"/>
          </w:tcPr>
          <w:p w14:paraId="3A07BA68">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U não lành tính</w:t>
            </w:r>
          </w:p>
        </w:tc>
        <w:tc>
          <w:tcPr>
            <w:tcW w:w="746" w:type="dxa"/>
          </w:tcPr>
          <w:p w14:paraId="68291DE1">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34</w:t>
            </w:r>
          </w:p>
        </w:tc>
        <w:tc>
          <w:tcPr>
            <w:tcW w:w="3785" w:type="dxa"/>
          </w:tcPr>
          <w:p w14:paraId="5FCBC332">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Bệnh cơ tim</w:t>
            </w:r>
          </w:p>
        </w:tc>
      </w:tr>
      <w:tr w14:paraId="21DFCE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3F445C3F">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14</w:t>
            </w:r>
          </w:p>
        </w:tc>
        <w:tc>
          <w:tcPr>
            <w:tcW w:w="3784" w:type="dxa"/>
          </w:tcPr>
          <w:p w14:paraId="438092B7">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Loạn dưỡng cơ</w:t>
            </w:r>
          </w:p>
        </w:tc>
        <w:tc>
          <w:tcPr>
            <w:tcW w:w="746" w:type="dxa"/>
          </w:tcPr>
          <w:p w14:paraId="58E91622">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35</w:t>
            </w:r>
          </w:p>
        </w:tc>
        <w:tc>
          <w:tcPr>
            <w:tcW w:w="3785" w:type="dxa"/>
          </w:tcPr>
          <w:p w14:paraId="3DEDB40C">
            <w:pPr>
              <w:spacing w:before="40" w:after="40" w:line="276" w:lineRule="auto"/>
              <w:jc w:val="left"/>
              <w:rPr>
                <w:color w:val="000000" w:themeColor="text1"/>
                <w:lang w:val="nb-NO"/>
                <w14:textFill>
                  <w14:solidFill>
                    <w14:schemeClr w14:val="tx1"/>
                  </w14:solidFill>
                </w14:textFill>
              </w:rPr>
            </w:pPr>
            <w:r>
              <w:rPr>
                <w:color w:val="000000" w:themeColor="text1"/>
                <w:lang w:val="nb-NO"/>
                <w14:textFill>
                  <w14:solidFill>
                    <w14:schemeClr w14:val="tx1"/>
                  </w14:solidFill>
                </w14:textFill>
              </w:rPr>
              <w:t>Bệnh Alzheimer hay sa sút trí tuệ</w:t>
            </w:r>
          </w:p>
        </w:tc>
      </w:tr>
      <w:tr w14:paraId="0993C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485BDEC2">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15</w:t>
            </w:r>
          </w:p>
        </w:tc>
        <w:tc>
          <w:tcPr>
            <w:tcW w:w="3784" w:type="dxa"/>
          </w:tcPr>
          <w:p w14:paraId="3F452043">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Bại hành tủy tiến triển</w:t>
            </w:r>
          </w:p>
        </w:tc>
        <w:tc>
          <w:tcPr>
            <w:tcW w:w="746" w:type="dxa"/>
          </w:tcPr>
          <w:p w14:paraId="5AC7188D">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36</w:t>
            </w:r>
          </w:p>
        </w:tc>
        <w:tc>
          <w:tcPr>
            <w:tcW w:w="3785" w:type="dxa"/>
          </w:tcPr>
          <w:p w14:paraId="2A96B1B6">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Tăng áp lực động mạch phổi</w:t>
            </w:r>
          </w:p>
        </w:tc>
      </w:tr>
      <w:tr w14:paraId="41C02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5DF23E03">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16</w:t>
            </w:r>
          </w:p>
        </w:tc>
        <w:tc>
          <w:tcPr>
            <w:tcW w:w="3784" w:type="dxa"/>
          </w:tcPr>
          <w:p w14:paraId="06189999">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Teo cơ tiến triển</w:t>
            </w:r>
          </w:p>
        </w:tc>
        <w:tc>
          <w:tcPr>
            <w:tcW w:w="746" w:type="dxa"/>
          </w:tcPr>
          <w:p w14:paraId="7B789F6C">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37</w:t>
            </w:r>
          </w:p>
        </w:tc>
        <w:tc>
          <w:tcPr>
            <w:tcW w:w="3785" w:type="dxa"/>
          </w:tcPr>
          <w:p w14:paraId="06BC339A">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Bệnh rối loạn dẫn truyền thần kinh vận động</w:t>
            </w:r>
          </w:p>
        </w:tc>
      </w:tr>
      <w:tr w14:paraId="038DB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5DBB7303">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17</w:t>
            </w:r>
          </w:p>
        </w:tc>
        <w:tc>
          <w:tcPr>
            <w:tcW w:w="3784" w:type="dxa"/>
          </w:tcPr>
          <w:p w14:paraId="4458B988">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Viêm đa khớp dạng thấp nặng</w:t>
            </w:r>
          </w:p>
        </w:tc>
        <w:tc>
          <w:tcPr>
            <w:tcW w:w="746" w:type="dxa"/>
          </w:tcPr>
          <w:p w14:paraId="59443704">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38</w:t>
            </w:r>
          </w:p>
        </w:tc>
        <w:tc>
          <w:tcPr>
            <w:tcW w:w="3785" w:type="dxa"/>
          </w:tcPr>
          <w:p w14:paraId="198C9CD1">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Chấn thương sọ não nặng</w:t>
            </w:r>
          </w:p>
        </w:tc>
      </w:tr>
      <w:tr w14:paraId="4BE1B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550C7705">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18</w:t>
            </w:r>
          </w:p>
        </w:tc>
        <w:tc>
          <w:tcPr>
            <w:tcW w:w="3784" w:type="dxa"/>
          </w:tcPr>
          <w:p w14:paraId="2C21D9EF">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Hoại thư do nhiễm liên cầu khuẩn tan huyết</w:t>
            </w:r>
          </w:p>
        </w:tc>
        <w:tc>
          <w:tcPr>
            <w:tcW w:w="746" w:type="dxa"/>
          </w:tcPr>
          <w:p w14:paraId="55B5535B">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39</w:t>
            </w:r>
          </w:p>
        </w:tc>
        <w:tc>
          <w:tcPr>
            <w:tcW w:w="3785" w:type="dxa"/>
          </w:tcPr>
          <w:p w14:paraId="6611D1A0">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Bệnh chân voi</w:t>
            </w:r>
          </w:p>
        </w:tc>
      </w:tr>
      <w:tr w14:paraId="28BCF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3BE85E60">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19</w:t>
            </w:r>
          </w:p>
        </w:tc>
        <w:tc>
          <w:tcPr>
            <w:tcW w:w="3784" w:type="dxa"/>
          </w:tcPr>
          <w:p w14:paraId="2988DFE4">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Thiếu máu bất sản</w:t>
            </w:r>
          </w:p>
        </w:tc>
        <w:tc>
          <w:tcPr>
            <w:tcW w:w="746" w:type="dxa"/>
          </w:tcPr>
          <w:p w14:paraId="7201D37F">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40</w:t>
            </w:r>
          </w:p>
        </w:tc>
        <w:tc>
          <w:tcPr>
            <w:tcW w:w="3785" w:type="dxa"/>
          </w:tcPr>
          <w:p w14:paraId="3E045CC4">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Nhiễm HIV do nghề nghiệp</w:t>
            </w:r>
          </w:p>
        </w:tc>
      </w:tr>
      <w:tr w14:paraId="3C9EB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2B7926CA">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20</w:t>
            </w:r>
          </w:p>
        </w:tc>
        <w:tc>
          <w:tcPr>
            <w:tcW w:w="3784" w:type="dxa"/>
          </w:tcPr>
          <w:p w14:paraId="4213ADB1">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Liệt hai chi</w:t>
            </w:r>
          </w:p>
        </w:tc>
        <w:tc>
          <w:tcPr>
            <w:tcW w:w="746" w:type="dxa"/>
          </w:tcPr>
          <w:p w14:paraId="4F2FFEFC">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41</w:t>
            </w:r>
          </w:p>
        </w:tc>
        <w:tc>
          <w:tcPr>
            <w:tcW w:w="3785" w:type="dxa"/>
          </w:tcPr>
          <w:p w14:paraId="055293AB">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Ghép tủy</w:t>
            </w:r>
          </w:p>
        </w:tc>
      </w:tr>
      <w:tr w14:paraId="0CA0E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46" w:type="dxa"/>
          </w:tcPr>
          <w:p w14:paraId="74F64823">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21</w:t>
            </w:r>
          </w:p>
        </w:tc>
        <w:tc>
          <w:tcPr>
            <w:tcW w:w="3784" w:type="dxa"/>
          </w:tcPr>
          <w:p w14:paraId="209A7108">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Mù hai mắt</w:t>
            </w:r>
          </w:p>
        </w:tc>
        <w:tc>
          <w:tcPr>
            <w:tcW w:w="746" w:type="dxa"/>
          </w:tcPr>
          <w:p w14:paraId="03BBB826">
            <w:pPr>
              <w:spacing w:before="40" w:after="40"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t>42</w:t>
            </w:r>
          </w:p>
        </w:tc>
        <w:tc>
          <w:tcPr>
            <w:tcW w:w="3785" w:type="dxa"/>
          </w:tcPr>
          <w:p w14:paraId="6BBE1D7B">
            <w:pPr>
              <w:spacing w:before="40" w:after="40" w:line="276" w:lineRule="auto"/>
              <w:jc w:val="left"/>
              <w:rPr>
                <w:color w:val="000000" w:themeColor="text1"/>
                <w14:textFill>
                  <w14:solidFill>
                    <w14:schemeClr w14:val="tx1"/>
                  </w14:solidFill>
                </w14:textFill>
              </w:rPr>
            </w:pPr>
            <w:r>
              <w:rPr>
                <w:color w:val="000000" w:themeColor="text1"/>
                <w14:textFill>
                  <w14:solidFill>
                    <w14:schemeClr w14:val="tx1"/>
                  </w14:solidFill>
                </w14:textFill>
              </w:rPr>
              <w:t>Bại liệt</w:t>
            </w:r>
          </w:p>
        </w:tc>
      </w:tr>
    </w:tbl>
    <w:p w14:paraId="0D78CAF9">
      <w:pPr>
        <w:spacing w:before="120" w:line="240" w:lineRule="auto"/>
        <w:ind w:firstLine="720"/>
        <w:rPr>
          <w:color w:val="000000" w:themeColor="text1"/>
          <w:szCs w:val="28"/>
          <w14:textFill>
            <w14:solidFill>
              <w14:schemeClr w14:val="tx1"/>
            </w14:solidFill>
          </w14:textFill>
        </w:rPr>
      </w:pPr>
      <w:r>
        <w:rPr>
          <w:color w:val="000000" w:themeColor="text1"/>
          <w:szCs w:val="28"/>
          <w14:textFill>
            <w14:solidFill>
              <w14:schemeClr w14:val="tx1"/>
            </w14:solidFill>
          </w14:textFill>
        </w:rPr>
        <w:t>Danh mục này được sử dụng để xác định bệnh hiểm nghèo đối với các trường hợp có liên quan tại điểm d khoản 1 Điều 2, điểm d khoản 1 Điều 7, điểm a khoản 1 Điều 13 và điểm b khoản 2 Điều 14 Nghị quyết này; đồng thời làm căn cứ đối chiếu hồ sơ tương ứng tại các mục 3, 9 và 10 Phụ lục II ban hành kèm theo Nghị quyết này.</w:t>
      </w:r>
    </w:p>
    <w:p w14:paraId="0E26AC6E">
      <w:pPr>
        <w:rPr>
          <w:color w:val="000000" w:themeColor="text1"/>
          <w:szCs w:val="28"/>
          <w14:textFill>
            <w14:solidFill>
              <w14:schemeClr w14:val="tx1"/>
            </w14:solidFill>
          </w14:textFill>
        </w:rPr>
      </w:pPr>
    </w:p>
    <w:p w14:paraId="655A11AB">
      <w:pPr>
        <w:spacing w:before="240"/>
        <w:jc w:val="center"/>
        <w:rPr>
          <w:color w:val="000000" w:themeColor="text1"/>
          <w14:textFill>
            <w14:solidFill>
              <w14:schemeClr w14:val="tx1"/>
            </w14:solidFill>
          </w14:textFill>
        </w:rPr>
      </w:pPr>
    </w:p>
    <w:sectPr>
      <w:headerReference r:id="rId5" w:type="default"/>
      <w:pgSz w:w="11906" w:h="16838"/>
      <w:pgMar w:top="1134" w:right="1134" w:bottom="1134"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modern"/>
    <w:pitch w:val="default"/>
    <w:sig w:usb0="00000000" w:usb1="00000000" w:usb2="00000000" w:usb3="00000000" w:csb0="00000001" w:csb1="00000000"/>
  </w:font>
  <w:font w:name="Segoe UI Symbol">
    <w:panose1 w:val="020B0502040204020203"/>
    <w:charset w:val="00"/>
    <w:family w:val="swiss"/>
    <w:pitch w:val="default"/>
    <w:sig w:usb0="800001E3" w:usb1="1200FFEF" w:usb2="00040000" w:usb3="04000000" w:csb0="00000001" w:csb1="4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10025185"/>
      <w:docPartObj>
        <w:docPartGallery w:val="AutoText"/>
      </w:docPartObj>
    </w:sdtPr>
    <w:sdtContent>
      <w:p w14:paraId="2854CF4D">
        <w:pPr>
          <w:pStyle w:val="19"/>
          <w:jc w:val="center"/>
        </w:pPr>
        <w:r>
          <w:fldChar w:fldCharType="begin"/>
        </w:r>
        <w:r>
          <w:instrText xml:space="preserve"> PAGE   \* MERGEFORMAT </w:instrText>
        </w:r>
        <w:r>
          <w:fldChar w:fldCharType="separate"/>
        </w:r>
        <w:r>
          <w:t>21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08F203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312" w:lineRule="auto"/>
      <w:jc w:val="both"/>
    </w:pPr>
    <w:rPr>
      <w:rFonts w:ascii="Times New Roman" w:hAnsi="Times New Roman" w:eastAsia="Times New Roman" w:cstheme="minorBidi"/>
      <w:sz w:val="28"/>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5"/>
    <w:unhideWhenUsed/>
    <w:qFormat/>
    <w:uiPriority w:val="99"/>
  </w:style>
  <w:style w:type="paragraph" w:styleId="14">
    <w:name w:val="Body Text 2"/>
    <w:basedOn w:val="1"/>
    <w:link w:val="146"/>
    <w:unhideWhenUsed/>
    <w:qFormat/>
    <w:uiPriority w:val="99"/>
    <w:pPr>
      <w:spacing w:line="480" w:lineRule="auto"/>
    </w:pPr>
  </w:style>
  <w:style w:type="paragraph" w:styleId="15">
    <w:name w:val="Body Text 3"/>
    <w:basedOn w:val="1"/>
    <w:link w:val="147"/>
    <w:unhideWhenUsed/>
    <w:uiPriority w:val="99"/>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uiPriority w:val="99"/>
    <w:pPr>
      <w:tabs>
        <w:tab w:val="center" w:pos="4680"/>
        <w:tab w:val="right" w:pos="9360"/>
      </w:tabs>
      <w:spacing w:after="0" w:line="240" w:lineRule="auto"/>
    </w:pPr>
  </w:style>
  <w:style w:type="paragraph" w:styleId="19">
    <w:name w:val="header"/>
    <w:basedOn w:val="1"/>
    <w:link w:val="136"/>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qFormat/>
    <w:uiPriority w:val="99"/>
    <w:pPr>
      <w:ind w:left="360"/>
      <w:contextualSpacing/>
    </w:pPr>
  </w:style>
  <w:style w:type="paragraph" w:styleId="27">
    <w:name w:val="List Continue 2"/>
    <w:basedOn w:val="1"/>
    <w:unhideWhenUsed/>
    <w:qFormat/>
    <w:uiPriority w:val="99"/>
    <w:pPr>
      <w:ind w:left="720"/>
      <w:contextualSpacing/>
    </w:pPr>
  </w:style>
  <w:style w:type="paragraph" w:styleId="28">
    <w:name w:val="List Continue 3"/>
    <w:basedOn w:val="1"/>
    <w:unhideWhenUsed/>
    <w:uiPriority w:val="99"/>
    <w:pPr>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3">
    <w:name w:val="Normal (Web)"/>
    <w:basedOn w:val="1"/>
    <w:unhideWhenUsed/>
    <w:uiPriority w:val="99"/>
    <w:pPr>
      <w:spacing w:before="100" w:beforeAutospacing="1" w:after="100" w:afterAutospacing="1" w:line="240" w:lineRule="auto"/>
      <w:jc w:val="left"/>
    </w:pPr>
    <w:rPr>
      <w:rFonts w:cs="Times New Roman"/>
      <w:sz w:val="24"/>
      <w:szCs w:val="24"/>
    </w:rPr>
  </w:style>
  <w:style w:type="character" w:styleId="34">
    <w:name w:val="Strong"/>
    <w:basedOn w:val="11"/>
    <w:qFormat/>
    <w:uiPriority w:val="22"/>
    <w:rPr>
      <w:b/>
      <w:bCs/>
    </w:rPr>
  </w:style>
  <w:style w:type="paragraph" w:styleId="35">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6">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7">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Header Char"/>
    <w:basedOn w:val="11"/>
    <w:link w:val="19"/>
    <w:uiPriority w:val="99"/>
  </w:style>
  <w:style w:type="character" w:customStyle="1" w:styleId="137">
    <w:name w:val="Footer Char"/>
    <w:basedOn w:val="11"/>
    <w:link w:val="18"/>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1"/>
    <w:link w:val="37"/>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1"/>
    <w:link w:val="35"/>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1"/>
    <w:link w:val="13"/>
    <w:uiPriority w:val="99"/>
  </w:style>
  <w:style w:type="character" w:customStyle="1" w:styleId="146">
    <w:name w:val="Body Text 2 Char"/>
    <w:basedOn w:val="11"/>
    <w:link w:val="14"/>
    <w:qFormat/>
    <w:uiPriority w:val="99"/>
  </w:style>
  <w:style w:type="character" w:customStyle="1" w:styleId="147">
    <w:name w:val="Body Text 3 Char"/>
    <w:basedOn w:val="11"/>
    <w:link w:val="15"/>
    <w:uiPriority w:val="99"/>
    <w:rPr>
      <w:sz w:val="16"/>
      <w:szCs w:val="16"/>
    </w:rPr>
  </w:style>
  <w:style w:type="character" w:customStyle="1" w:styleId="148">
    <w:name w:val="Macro Text Char"/>
    <w:basedOn w:val="11"/>
    <w:link w:val="3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1"/>
    <w:link w:val="149"/>
    <w:uiPriority w:val="29"/>
    <w:rPr>
      <w:i/>
      <w:iCs/>
      <w:color w:val="000000" w:themeColor="text1"/>
      <w14:textFill>
        <w14:solidFill>
          <w14:schemeClr w14:val="tx1"/>
        </w14:solidFill>
      </w14:textFill>
    </w:rPr>
  </w:style>
  <w:style w:type="character" w:customStyle="1" w:styleId="151">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1"/>
    <w:link w:val="157"/>
    <w:uiPriority w:val="30"/>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TOC Heading"/>
    <w:basedOn w:val="2"/>
    <w:next w:val="1"/>
    <w:semiHidden/>
    <w:unhideWhenUsed/>
    <w:qFormat/>
    <w:uiPriority w:val="39"/>
    <w:pPr>
      <w:outlineLvl w:val="9"/>
    </w:pPr>
  </w:style>
  <w:style w:type="paragraph" w:customStyle="1" w:styleId="165">
    <w:name w:val="prov-article"/>
    <w:basedOn w:val="1"/>
    <w:uiPriority w:val="0"/>
    <w:pPr>
      <w:spacing w:before="100" w:beforeAutospacing="1" w:after="100" w:afterAutospacing="1" w:line="240" w:lineRule="auto"/>
      <w:jc w:val="left"/>
    </w:pPr>
    <w:rPr>
      <w:rFonts w:cs="Times New Roman"/>
      <w:sz w:val="24"/>
      <w:szCs w:val="24"/>
    </w:rPr>
  </w:style>
  <w:style w:type="paragraph" w:customStyle="1" w:styleId="166">
    <w:name w:val="prov-clause"/>
    <w:basedOn w:val="1"/>
    <w:uiPriority w:val="0"/>
    <w:pPr>
      <w:spacing w:before="100" w:beforeAutospacing="1" w:after="100" w:afterAutospacing="1" w:line="240" w:lineRule="auto"/>
      <w:jc w:val="left"/>
    </w:pPr>
    <w:rPr>
      <w:rFonts w:cs="Times New Roman"/>
      <w:sz w:val="24"/>
      <w:szCs w:val="24"/>
    </w:rPr>
  </w:style>
  <w:style w:type="paragraph" w:customStyle="1" w:styleId="167">
    <w:name w:val="prov-item"/>
    <w:basedOn w:val="1"/>
    <w:uiPriority w:val="0"/>
    <w:pPr>
      <w:spacing w:before="100" w:beforeAutospacing="1" w:after="100" w:afterAutospacing="1" w:line="240" w:lineRule="auto"/>
      <w:jc w:val="left"/>
    </w:pPr>
    <w:rPr>
      <w:rFonts w:cs="Times New Roman"/>
      <w:sz w:val="24"/>
      <w:szCs w:val="24"/>
    </w:rPr>
  </w:style>
  <w:style w:type="paragraph" w:customStyle="1" w:styleId="168">
    <w:name w:val="prov-content"/>
    <w:basedOn w:val="1"/>
    <w:uiPriority w:val="0"/>
    <w:pPr>
      <w:spacing w:before="100" w:beforeAutospacing="1" w:after="100" w:afterAutospacing="1" w:line="240" w:lineRule="auto"/>
      <w:jc w:val="left"/>
    </w:pPr>
    <w:rPr>
      <w:rFonts w:cs="Times New Roman"/>
      <w:sz w:val="24"/>
      <w:szCs w:val="24"/>
    </w:rPr>
  </w:style>
  <w:style w:type="paragraph" w:customStyle="1" w:styleId="169">
    <w:name w:val="x12ofw9d"/>
    <w:basedOn w:val="1"/>
    <w:uiPriority w:val="0"/>
    <w:pPr>
      <w:spacing w:before="100" w:beforeAutospacing="1" w:after="100" w:afterAutospacing="1" w:line="240" w:lineRule="auto"/>
      <w:jc w:val="left"/>
    </w:pPr>
    <w:rPr>
      <w:rFonts w:cs="Times New Roman"/>
      <w:sz w:val="24"/>
      <w:szCs w:val="24"/>
    </w:rPr>
  </w:style>
  <w:style w:type="character" w:customStyle="1" w:styleId="170">
    <w:name w:val="xt0psk2"/>
    <w:basedOn w:val="11"/>
    <w:qFormat/>
    <w:uiPriority w:val="0"/>
  </w:style>
  <w:style w:type="character" w:customStyle="1" w:styleId="171">
    <w:name w:val="Body text_"/>
    <w:link w:val="172"/>
    <w:qFormat/>
    <w:locked/>
    <w:uiPriority w:val="0"/>
    <w:rPr>
      <w:sz w:val="26"/>
      <w:szCs w:val="26"/>
    </w:rPr>
  </w:style>
  <w:style w:type="paragraph" w:customStyle="1" w:styleId="172">
    <w:name w:val="Body Text1"/>
    <w:basedOn w:val="1"/>
    <w:link w:val="171"/>
    <w:qFormat/>
    <w:uiPriority w:val="0"/>
    <w:pPr>
      <w:widowControl w:val="0"/>
      <w:spacing w:after="220" w:line="264" w:lineRule="auto"/>
      <w:ind w:firstLine="400"/>
      <w:jc w:val="left"/>
    </w:pPr>
    <w:rPr>
      <w:rFonts w:asciiTheme="minorHAnsi" w:hAnsiTheme="minorHAnsi" w:eastAsiaTheme="minorEastAsia"/>
      <w:sz w:val="26"/>
      <w:szCs w:val="2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D795E5-828D-46C6-989D-F8E801BC4C03}">
  <ds:schemaRefs/>
</ds:datastoreItem>
</file>

<file path=docProps/app.xml><?xml version="1.0" encoding="utf-8"?>
<Properties xmlns="http://schemas.openxmlformats.org/officeDocument/2006/extended-properties" xmlns:vt="http://schemas.openxmlformats.org/officeDocument/2006/docPropsVTypes">
  <Template>Normal.dotm</Template>
  <Pages>37</Pages>
  <Words>8582</Words>
  <Characters>30827</Characters>
  <Lines>565</Lines>
  <Paragraphs>159</Paragraphs>
  <TotalTime>0</TotalTime>
  <ScaleCrop>false</ScaleCrop>
  <LinksUpToDate>false</LinksUpToDate>
  <CharactersWithSpaces>39244</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2026-10-30T13:52:00Z</dcterms:created>
  <dc:creator>python-docx</dc:creator>
  <dc:description>generated by python-docx</dc:description>
  <cp:lastModifiedBy>user</cp:lastModifiedBy>
  <dcterms:modified xsi:type="dcterms:W3CDTF">2026-11-02T06:48:10Z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63E44564C54C41FEB90481C724DDC7E2_13</vt:lpwstr>
  </property>
</Properties>
</file>