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940" w:type="dxa"/>
        <w:tblInd w:w="-312" w:type="dxa"/>
        <w:tblLayout w:type="fixed"/>
        <w:tblCellMar>
          <w:top w:w="0" w:type="dxa"/>
          <w:left w:w="108" w:type="dxa"/>
          <w:bottom w:w="0" w:type="dxa"/>
          <w:right w:w="108" w:type="dxa"/>
        </w:tblCellMar>
      </w:tblPr>
      <w:tblGrid>
        <w:gridCol w:w="3640"/>
        <w:gridCol w:w="6300"/>
      </w:tblGrid>
      <w:tr w14:paraId="08137F89">
        <w:tblPrEx>
          <w:tblCellMar>
            <w:top w:w="0" w:type="dxa"/>
            <w:left w:w="108" w:type="dxa"/>
            <w:bottom w:w="0" w:type="dxa"/>
            <w:right w:w="108" w:type="dxa"/>
          </w:tblCellMar>
        </w:tblPrEx>
        <w:trPr>
          <w:trHeight w:val="345" w:hRule="atLeast"/>
        </w:trPr>
        <w:tc>
          <w:tcPr>
            <w:tcW w:w="3640" w:type="dxa"/>
          </w:tcPr>
          <w:p w14:paraId="139EEB60">
            <w:pPr>
              <w:jc w:val="center"/>
              <w:rPr>
                <w:b/>
                <w:bCs/>
                <w:sz w:val="26"/>
                <w:szCs w:val="26"/>
                <w:lang w:val="pt-BR"/>
              </w:rPr>
            </w:pPr>
            <w:bookmarkStart w:id="4" w:name="_GoBack"/>
            <w:bookmarkEnd w:id="4"/>
            <w:r>
              <w:rPr>
                <w:sz w:val="26"/>
                <w:szCs w:val="26"/>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407035</wp:posOffset>
                      </wp:positionV>
                      <wp:extent cx="558800" cy="0"/>
                      <wp:effectExtent l="0" t="0" r="0" b="0"/>
                      <wp:wrapNone/>
                      <wp:docPr id="1671348268" name="Lines 2"/>
                      <wp:cNvGraphicFramePr/>
                      <a:graphic xmlns:a="http://schemas.openxmlformats.org/drawingml/2006/main">
                        <a:graphicData uri="http://schemas.microsoft.com/office/word/2010/wordprocessingShape">
                          <wps:wsp>
                            <wps:cNvCnPr>
                              <a:cxnSpLocks noChangeShapeType="1"/>
                            </wps:cNvCnPr>
                            <wps:spPr bwMode="auto">
                              <a:xfrm>
                                <a:off x="0" y="0"/>
                                <a:ext cx="558720" cy="0"/>
                              </a:xfrm>
                              <a:prstGeom prst="line">
                                <a:avLst/>
                              </a:prstGeom>
                              <a:noFill/>
                              <a:ln w="9525">
                                <a:solidFill>
                                  <a:srgbClr val="000000"/>
                                </a:solidFill>
                                <a:round/>
                              </a:ln>
                            </wps:spPr>
                            <wps:bodyPr/>
                          </wps:wsp>
                        </a:graphicData>
                      </a:graphic>
                    </wp:anchor>
                  </w:drawing>
                </mc:Choice>
                <mc:Fallback>
                  <w:pict>
                    <v:line id="Lines 2" o:spid="_x0000_s1026" o:spt="20" style="position:absolute;left:0pt;margin-top:32.05pt;height:0pt;width:44pt;mso-position-horizontal:center;z-index:251659264;mso-width-relative:page;mso-height-relative:page;" filled="f" stroked="t" coordsize="21600,21600" o:gfxdata="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LBK/iNIAAAAFAQAADwAAAAAAAAABACAAAAAiAAAAZHJz&#10;L2Rvd25yZXYueG1sUEsBAhQAFAAAAAgAh07iQDBV/wTRAQAAqAMAAA4AAAAAAAAAAQAgAAAAIQEA&#10;AGRycy9lMm9Eb2MueG1sUEsFBgAAAAAGAAYAWQEAAGQFAAAAAA==&#10;">
                      <v:fill on="f" focussize="0,0"/>
                      <v:stroke color="#000000" joinstyle="round"/>
                      <v:imagedata o:title=""/>
                      <o:lock v:ext="edit" aspectratio="f"/>
                    </v:line>
                  </w:pict>
                </mc:Fallback>
              </mc:AlternateContent>
            </w:r>
            <w:r>
              <w:rPr>
                <w:b/>
                <w:bCs/>
                <w:sz w:val="26"/>
                <w:szCs w:val="26"/>
                <w:lang w:val="pt-BR"/>
              </w:rPr>
              <w:t>ỦY BAN NHÂN DÂN</w:t>
            </w:r>
            <w:r>
              <w:rPr>
                <w:b/>
                <w:bCs/>
                <w:sz w:val="26"/>
                <w:szCs w:val="26"/>
                <w:lang w:val="pt-BR"/>
              </w:rPr>
              <w:br w:type="textWrapping"/>
            </w:r>
            <w:r>
              <w:rPr>
                <w:b/>
                <w:bCs/>
                <w:sz w:val="26"/>
                <w:szCs w:val="26"/>
                <w:lang w:val="pt-BR"/>
              </w:rPr>
              <w:t>TỈNH HÀ TĨNH</w:t>
            </w:r>
          </w:p>
        </w:tc>
        <w:tc>
          <w:tcPr>
            <w:tcW w:w="6300" w:type="dxa"/>
          </w:tcPr>
          <w:p w14:paraId="52B86BFC">
            <w:pPr>
              <w:spacing w:after="240"/>
              <w:jc w:val="center"/>
              <w:rPr>
                <w:b/>
                <w:bCs/>
                <w:sz w:val="26"/>
                <w:szCs w:val="26"/>
                <w:lang w:val="pt-BR"/>
              </w:rPr>
            </w:pPr>
            <w:r>
              <w:rPr>
                <w:b/>
                <w:bCs/>
                <w:sz w:val="26"/>
                <w:szCs w:val="26"/>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417830</wp:posOffset>
                      </wp:positionV>
                      <wp:extent cx="2125980" cy="0"/>
                      <wp:effectExtent l="0" t="0" r="0" b="0"/>
                      <wp:wrapNone/>
                      <wp:docPr id="1644948577" name="Lines 3"/>
                      <wp:cNvGraphicFramePr/>
                      <a:graphic xmlns:a="http://schemas.openxmlformats.org/drawingml/2006/main">
                        <a:graphicData uri="http://schemas.microsoft.com/office/word/2010/wordprocessingShape">
                          <wps:wsp>
                            <wps:cNvCnPr>
                              <a:cxnSpLocks noChangeShapeType="1"/>
                            </wps:cNvCnPr>
                            <wps:spPr bwMode="auto">
                              <a:xfrm>
                                <a:off x="0" y="0"/>
                                <a:ext cx="2126160" cy="0"/>
                              </a:xfrm>
                              <a:prstGeom prst="line">
                                <a:avLst/>
                              </a:prstGeom>
                              <a:noFill/>
                              <a:ln w="9525">
                                <a:solidFill>
                                  <a:srgbClr val="000000"/>
                                </a:solidFill>
                                <a:round/>
                              </a:ln>
                            </wps:spPr>
                            <wps:bodyPr/>
                          </wps:wsp>
                        </a:graphicData>
                      </a:graphic>
                    </wp:anchor>
                  </w:drawing>
                </mc:Choice>
                <mc:Fallback>
                  <w:pict>
                    <v:line id="Lines 3" o:spid="_x0000_s1026" o:spt="20" style="position:absolute;left:0pt;margin-top:32.9pt;height:0pt;width:167.4pt;mso-position-horizontal:center;z-index:251660288;mso-width-relative:page;mso-height-relative:page;" filled="f" stroked="t" coordsize="21600,21600" o:gfxdata="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dyGtrUAAAABgEAAA8AAAAAAAAAAQAgAAAAIgAA&#10;AGRycy9kb3ducmV2LnhtbFBLAQIUABQAAAAIAIdO4kBZ1JRD0wEAAKkDAAAOAAAAAAAAAAEAIAAA&#10;ACMBAABkcnMvZTJvRG9jLnhtbFBLBQYAAAAABgAGAFkBAABoBQAAAAA=&#10;">
                      <v:fill on="f" focussize="0,0"/>
                      <v:stroke color="#000000" joinstyle="round"/>
                      <v:imagedata o:title=""/>
                      <o:lock v:ext="edit" aspectratio="f"/>
                    </v:line>
                  </w:pict>
                </mc:Fallback>
              </mc:AlternateContent>
            </w:r>
            <w:r>
              <w:rPr>
                <w:b/>
                <w:bCs/>
                <w:sz w:val="26"/>
                <w:szCs w:val="26"/>
                <w:lang w:val="pt-BR"/>
              </w:rPr>
              <w:t>CỘNG HÒA XÃ HỘI CHỦ NGHĨA VIỆT NAM</w:t>
            </w:r>
            <w:r>
              <w:rPr>
                <w:b/>
                <w:bCs/>
                <w:sz w:val="26"/>
                <w:szCs w:val="26"/>
                <w:lang w:val="pt-BR"/>
              </w:rPr>
              <w:br w:type="textWrapping"/>
            </w:r>
            <w:r>
              <w:rPr>
                <w:b/>
                <w:bCs/>
                <w:lang w:val="pt-BR"/>
              </w:rPr>
              <w:t>Độc lập - Tự do - Hạnh phúc</w:t>
            </w:r>
          </w:p>
        </w:tc>
      </w:tr>
      <w:tr w14:paraId="6BDA2A1F">
        <w:tblPrEx>
          <w:tblCellMar>
            <w:top w:w="0" w:type="dxa"/>
            <w:left w:w="108" w:type="dxa"/>
            <w:bottom w:w="0" w:type="dxa"/>
            <w:right w:w="108" w:type="dxa"/>
          </w:tblCellMar>
        </w:tblPrEx>
        <w:trPr>
          <w:trHeight w:val="345" w:hRule="atLeast"/>
        </w:trPr>
        <w:tc>
          <w:tcPr>
            <w:tcW w:w="3640" w:type="dxa"/>
          </w:tcPr>
          <w:p w14:paraId="6F106E34">
            <w:pPr>
              <w:jc w:val="center"/>
              <w:rPr>
                <w:sz w:val="26"/>
                <w:szCs w:val="26"/>
                <w:lang w:val="pt-BR"/>
              </w:rPr>
            </w:pPr>
            <w:r>
              <w:rPr>
                <w:sz w:val="26"/>
                <w:szCs w:val="26"/>
                <w:lang w:val="pt-BR"/>
              </w:rPr>
              <w:t>Số:           /2026/QĐ-UBND</w:t>
            </w:r>
          </w:p>
        </w:tc>
        <w:tc>
          <w:tcPr>
            <w:tcW w:w="6300" w:type="dxa"/>
          </w:tcPr>
          <w:p w14:paraId="6460AD03">
            <w:pPr>
              <w:jc w:val="center"/>
              <w:rPr>
                <w:i/>
                <w:iCs/>
                <w:sz w:val="26"/>
                <w:szCs w:val="26"/>
                <w:lang w:val="pt-BR"/>
              </w:rPr>
            </w:pPr>
            <w:r>
              <w:rPr>
                <w:i/>
                <w:iCs/>
                <w:sz w:val="26"/>
                <w:szCs w:val="26"/>
                <w:lang w:val="pt-BR"/>
              </w:rPr>
              <w:t>Hà Tĩnh, ngày       tháng       năm 2026</w:t>
            </w:r>
          </w:p>
        </w:tc>
      </w:tr>
    </w:tbl>
    <w:p w14:paraId="2B8EE5E4">
      <w:pPr>
        <w:spacing w:before="120"/>
        <w:rPr>
          <w:b/>
          <w:lang w:val="pt-BR"/>
        </w:rPr>
      </w:pPr>
      <w:r>
        <w:rPr>
          <w:b/>
          <w:lang w:val="pt-BR"/>
        </w:rPr>
        <mc:AlternateContent>
          <mc:Choice Requires="wps">
            <w:drawing>
              <wp:anchor distT="0" distB="0" distL="114300" distR="114300" simplePos="0" relativeHeight="251662336" behindDoc="0" locked="0" layoutInCell="1" allowOverlap="1">
                <wp:simplePos x="0" y="0"/>
                <wp:positionH relativeFrom="column">
                  <wp:posOffset>207010</wp:posOffset>
                </wp:positionH>
                <wp:positionV relativeFrom="paragraph">
                  <wp:posOffset>105410</wp:posOffset>
                </wp:positionV>
                <wp:extent cx="1259205" cy="316230"/>
                <wp:effectExtent l="0" t="0" r="17780" b="26670"/>
                <wp:wrapNone/>
                <wp:docPr id="1423241909" name="Rectangle 4"/>
                <wp:cNvGraphicFramePr/>
                <a:graphic xmlns:a="http://schemas.openxmlformats.org/drawingml/2006/main">
                  <a:graphicData uri="http://schemas.microsoft.com/office/word/2010/wordprocessingShape">
                    <wps:wsp>
                      <wps:cNvSpPr/>
                      <wps:spPr>
                        <a:xfrm>
                          <a:off x="0" y="0"/>
                          <a:ext cx="1259058" cy="31652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749F1A">
                            <w:pPr>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16.3pt;margin-top:8.3pt;height:24.9pt;width:99.15pt;z-index:251662336;v-text-anchor:middle;mso-width-relative:page;mso-height-relative:page;" fillcolor="#FFFFFF [3201]" filled="t" stroked="t" coordsize="21600,21600" o:gfxdata="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U/pzb1gAAAAgBAAAPAAAAAAAAAAEAIAAAACIAAABkcnMvZG93bnJl&#10;di54bWxQSwECFAAUAAAACACHTuJAjWjDtXECAAALBQAADgAAAAAAAAABACAAAAAlAQAAZHJzL2Uy&#10;b0RvYy54bWxQSwUGAAAAAAYABgBZAQAACAYAAAAA&#10;">
                <v:fill on="t" focussize="0,0"/>
                <v:stroke weight="1pt" color="#000000 [3213]" miterlimit="8" joinstyle="miter"/>
                <v:imagedata o:title=""/>
                <o:lock v:ext="edit" aspectratio="f"/>
                <v:textbox>
                  <w:txbxContent>
                    <w:p w14:paraId="72749F1A">
                      <w:pPr>
                        <w:jc w:val="center"/>
                        <w:rPr>
                          <w:b/>
                          <w:bCs/>
                        </w:rPr>
                      </w:pPr>
                      <w:r>
                        <w:rPr>
                          <w:b/>
                          <w:bCs/>
                        </w:rPr>
                        <w:t>DỰ THẢO</w:t>
                      </w:r>
                    </w:p>
                  </w:txbxContent>
                </v:textbox>
              </v:rect>
            </w:pict>
          </mc:Fallback>
        </mc:AlternateContent>
      </w:r>
    </w:p>
    <w:p w14:paraId="241634C5">
      <w:pPr>
        <w:spacing w:before="120"/>
        <w:jc w:val="center"/>
        <w:rPr>
          <w:b/>
          <w:lang w:val="pt-BR"/>
        </w:rPr>
      </w:pPr>
      <w:r>
        <mc:AlternateContent>
          <mc:Choice Requires="wps">
            <w:drawing>
              <wp:anchor distT="0" distB="0" distL="114300" distR="114300" simplePos="0" relativeHeight="251661312" behindDoc="0" locked="0" layoutInCell="1" allowOverlap="1">
                <wp:simplePos x="0" y="0"/>
                <wp:positionH relativeFrom="column">
                  <wp:posOffset>2000885</wp:posOffset>
                </wp:positionH>
                <wp:positionV relativeFrom="paragraph">
                  <wp:posOffset>462915</wp:posOffset>
                </wp:positionV>
                <wp:extent cx="1758950" cy="0"/>
                <wp:effectExtent l="0" t="0" r="0" b="0"/>
                <wp:wrapNone/>
                <wp:docPr id="143561856" name="Lines 4"/>
                <wp:cNvGraphicFramePr/>
                <a:graphic xmlns:a="http://schemas.openxmlformats.org/drawingml/2006/main">
                  <a:graphicData uri="http://schemas.microsoft.com/office/word/2010/wordprocessingShape">
                    <wps:wsp>
                      <wps:cNvCnPr>
                        <a:cxnSpLocks noChangeShapeType="1"/>
                      </wps:cNvCnPr>
                      <wps:spPr bwMode="auto">
                        <a:xfrm>
                          <a:off x="0" y="0"/>
                          <a:ext cx="1758960" cy="0"/>
                        </a:xfrm>
                        <a:prstGeom prst="line">
                          <a:avLst/>
                        </a:prstGeom>
                        <a:noFill/>
                        <a:ln w="9525">
                          <a:solidFill>
                            <a:srgbClr val="000000"/>
                          </a:solidFill>
                          <a:round/>
                        </a:ln>
                      </wps:spPr>
                      <wps:bodyPr/>
                    </wps:wsp>
                  </a:graphicData>
                </a:graphic>
              </wp:anchor>
            </w:drawing>
          </mc:Choice>
          <mc:Fallback>
            <w:pict>
              <v:line id="Lines 4" o:spid="_x0000_s1026" o:spt="20" style="position:absolute;left:0pt;margin-left:157.55pt;margin-top:36.45pt;height:0pt;width:138.5pt;z-index:251661312;mso-width-relative:page;mso-height-relative:page;" filled="f" stroked="t" coordsize="21600,21600" o:gfxdata="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m5LTd1gAAAAkBAAAPAAAAAAAAAAEAIAAAACIA&#10;AABkcnMvZG93bnJldi54bWxQSwECFAAUAAAACACHTuJAs7UOC9IBAACoAwAADgAAAAAAAAABACAA&#10;AAAlAQAAZHJzL2Uyb0RvYy54bWxQSwUGAAAAAAYABgBZAQAAaQUAAAAA&#10;">
                <v:fill on="f" focussize="0,0"/>
                <v:stroke color="#000000" joinstyle="round"/>
                <v:imagedata o:title=""/>
                <o:lock v:ext="edit" aspectratio="f"/>
              </v:line>
            </w:pict>
          </mc:Fallback>
        </mc:AlternateContent>
      </w:r>
      <w:r>
        <w:rPr>
          <w:b/>
          <w:lang w:val="pt-BR"/>
        </w:rPr>
        <w:t>QUYẾT ĐỊNH</w:t>
      </w:r>
      <w:r>
        <w:rPr>
          <w:b/>
          <w:bCs/>
          <w:lang w:val="pt-BR"/>
        </w:rPr>
        <w:t xml:space="preserve"> </w:t>
      </w:r>
      <w:r>
        <w:rPr>
          <w:b/>
          <w:bCs/>
          <w:lang w:val="pt-BR"/>
        </w:rPr>
        <w:br w:type="textWrapping"/>
      </w:r>
      <w:r>
        <w:rPr>
          <w:b/>
          <w:lang w:val="pt-BR"/>
        </w:rPr>
        <w:t>Quy định hệ số điều chỉnh giá đất năm 2027 trên địa bàn tỉnh Hà Tĩnh</w:t>
      </w:r>
    </w:p>
    <w:p w14:paraId="02F33459">
      <w:pPr>
        <w:spacing w:before="120"/>
        <w:rPr>
          <w:b/>
          <w:bCs/>
          <w:u w:val="single"/>
          <w:lang w:val="pt-BR"/>
        </w:rPr>
      </w:pPr>
    </w:p>
    <w:p w14:paraId="472BF873">
      <w:pPr>
        <w:ind w:firstLine="720"/>
        <w:rPr>
          <w:i/>
          <w:lang w:val="pt-BR"/>
        </w:rPr>
      </w:pPr>
      <w:r>
        <w:rPr>
          <w:i/>
          <w:lang w:val="pt-BR"/>
        </w:rPr>
        <w:t>Căn cứ Luật Tổ chức chính quyền địa phương số 72/2025/QH15;</w:t>
      </w:r>
    </w:p>
    <w:p w14:paraId="7CE71D81">
      <w:pPr>
        <w:ind w:firstLine="720"/>
        <w:rPr>
          <w:i/>
          <w:lang w:val="pt-BR"/>
        </w:rPr>
      </w:pPr>
      <w:r>
        <w:rPr>
          <w:i/>
          <w:lang w:val="pt-BR"/>
        </w:rPr>
        <w:t>Căn cứ Luật Ban hành văn bản quy phạm pháp luật số 64/2025/QH15 được sửa đổi, bổ sung bởi Luật số 87/2025/QH15;</w:t>
      </w:r>
    </w:p>
    <w:p w14:paraId="4963EAE1">
      <w:pPr>
        <w:ind w:firstLine="720"/>
        <w:rPr>
          <w:i/>
          <w:lang w:val="pt-BR"/>
        </w:rPr>
      </w:pPr>
      <w:r>
        <w:rPr>
          <w:i/>
          <w:lang w:val="pt-BR"/>
        </w:rPr>
        <w:t>Căn cứ Luật Đất đai số 31/2024/QH15 được sửa đổi, bổ sung một số điều bởi các Luật số 43/2024/QH15, số 47/2024/QH15, số 58/2024/QH15, số 71/2025/QH15, số 84/2025/QH15, số 93/2025/QH15, số 95/2025/QH15, số 146/2025/QH15 và số 147/2025/QH15;</w:t>
      </w:r>
    </w:p>
    <w:p w14:paraId="19368DE3">
      <w:pPr>
        <w:ind w:firstLine="720"/>
        <w:rPr>
          <w:i/>
          <w:spacing w:val="-2"/>
          <w:lang w:val="pt-BR"/>
        </w:rPr>
      </w:pPr>
      <w:r>
        <w:rPr>
          <w:i/>
          <w:spacing w:val="-2"/>
          <w:lang w:val="pt-BR"/>
        </w:rPr>
        <w:t>Căn cứ Nghị quyết số 254/2025/QH15 của Quốc hội quy định một số cơ chế, chính sách tháo gỡ khó khăn, vướng mắc trong tổ chức thi hành Luật Đất đai;</w:t>
      </w:r>
    </w:p>
    <w:p w14:paraId="5CEDF044">
      <w:pPr>
        <w:ind w:firstLine="720"/>
        <w:rPr>
          <w:i/>
          <w:lang w:val="pt-BR"/>
        </w:rPr>
      </w:pPr>
      <w:r>
        <w:rPr>
          <w:i/>
          <w:lang w:val="pt-BR"/>
        </w:rPr>
        <w:t>Căn cứ các Nghị định của Chính phủ: số 78/2025/NĐ-CP quy định chi tiết một số điều và biện pháp để tổ chức, hướng dẫn thi hành Luật Ban hành văn bản quy phạm pháp luật được sửa đổi, bổ sung bởi Nghị định số 187/2025/NĐ-CP; số 49/2026/NĐ-CP quy định chi tiết và hướng dẫn một số điều của Nghị quyết số 254/2025/QH15 của Quốc hội quy định một số cơ chế, chính sách tháo gỡ khó khăn, vướng mắc trong tổ chức thi hành Luật Đất đai;</w:t>
      </w:r>
    </w:p>
    <w:p w14:paraId="2BEB1BDC">
      <w:pPr>
        <w:ind w:firstLine="720"/>
        <w:rPr>
          <w:i/>
          <w:lang w:val="pt-BR"/>
        </w:rPr>
      </w:pPr>
      <w:r>
        <w:rPr>
          <w:i/>
          <w:lang w:val="pt-BR"/>
        </w:rPr>
        <w:t xml:space="preserve">Căn cứ các Nghị quyết của Hội đồng nhân dân tỉnh: số 176/2025/NQ-HĐND quy định Bảng giá đất lần đầu áp dụng từ ngày 01 tháng 01 năm 2026 trên địa bàn tỉnh Hà Tĩnh; </w:t>
      </w:r>
      <w:r>
        <w:rPr>
          <w:i/>
          <w:color w:val="EE0000"/>
          <w:lang w:val="pt-BR"/>
        </w:rPr>
        <w:t xml:space="preserve">số ..../2026/NQ-HĐND </w:t>
      </w:r>
      <w:r>
        <w:rPr>
          <w:i/>
          <w:lang w:val="pt-BR"/>
        </w:rPr>
        <w:t>quy định sửa đổi, bổ sung Bảng giá đất lần đầu áp dụng từ ngày 01/01/2026 trên địa bàn tỉnh Hà Tĩnh;</w:t>
      </w:r>
    </w:p>
    <w:p w14:paraId="0FDDEE15">
      <w:pPr>
        <w:ind w:firstLine="720"/>
        <w:rPr>
          <w:i/>
          <w:color w:val="EE0000"/>
          <w:lang w:val="pt-BR"/>
        </w:rPr>
      </w:pPr>
      <w:r>
        <w:rPr>
          <w:i/>
          <w:color w:val="EE0000"/>
          <w:lang w:val="pt-BR"/>
        </w:rPr>
        <w:t>Theo đề nghị của Giám đốc Sở Nông nghiệp và Môi trường tại Tờ trình số ..../TTr-SNNMT ngày ... tháng .... năm 2026; ý kiến thẩm định của Sở Tư pháp tại Báo cáo số ..../BC-STP ngày .... tháng .... năm 2026; kết quả thẩm định của Hội đồng thẩm định hệ số điều chỉnh giá đất năm 2027 tại Thông báo số ..../TB-HĐTĐ ngày .... tháng ... năm 2026; ý kiến thống nhất của Thành viên Ủy ban nhân dân tỉnh và Thành viên Ban Thường vụ Đảng ủy Ủy ban nhân dân tỉnh (qua Phiếu biểu quyết);</w:t>
      </w:r>
    </w:p>
    <w:p w14:paraId="5003667B">
      <w:pPr>
        <w:ind w:firstLine="720"/>
        <w:rPr>
          <w:i/>
          <w:lang w:val="pt-BR"/>
        </w:rPr>
      </w:pPr>
      <w:r>
        <w:rPr>
          <w:i/>
          <w:lang w:val="pt-BR"/>
        </w:rPr>
        <w:t>Ủy ban nhân dân tỉnh ban hành Quyết định quy định hệ số điều chỉnh giá đất năm 2027 trên địa bàn tỉnh Hà Tĩnh.</w:t>
      </w:r>
    </w:p>
    <w:p w14:paraId="2D7F6822">
      <w:pPr>
        <w:ind w:firstLine="720"/>
        <w:rPr>
          <w:lang w:val="pt-BR"/>
        </w:rPr>
      </w:pPr>
      <w:r>
        <w:rPr>
          <w:b/>
          <w:lang w:val="pt-BR"/>
        </w:rPr>
        <w:t xml:space="preserve">Điều 1. </w:t>
      </w:r>
      <w:r>
        <w:rPr>
          <w:b/>
          <w:bCs/>
          <w:lang w:val="pt-BR"/>
        </w:rPr>
        <w:t>Phạm vi điều chỉnh</w:t>
      </w:r>
    </w:p>
    <w:p w14:paraId="0BCAA5F7">
      <w:pPr>
        <w:ind w:firstLine="720"/>
        <w:rPr>
          <w:lang w:val="pt-BR"/>
        </w:rPr>
      </w:pPr>
      <w:r>
        <w:rPr>
          <w:lang w:val="pt-BR"/>
        </w:rPr>
        <w:t>Quyết định này quy định hệ số điều chỉnh giá đất năm 2027 trên địa bàn tỉnh Hà Tĩnh theo quy định tại khoản 2 Điều 8 Nghị quyết số 254/2025/QH15 của Quốc hội quy định một số cơ chế, chính sách tháo gỡ khó khăn, vướng mắc trong tổ chức thi hành Luật Đất đai.</w:t>
      </w:r>
    </w:p>
    <w:p w14:paraId="784D9E63">
      <w:pPr>
        <w:ind w:firstLine="720"/>
        <w:rPr>
          <w:lang w:val="pt-BR"/>
        </w:rPr>
      </w:pPr>
      <w:r>
        <w:rPr>
          <w:b/>
          <w:bCs/>
          <w:lang w:val="pt-BR"/>
        </w:rPr>
        <w:t>Điều 2. Đối tượng áp dụng</w:t>
      </w:r>
    </w:p>
    <w:p w14:paraId="54C23BDE">
      <w:pPr>
        <w:ind w:firstLine="720"/>
        <w:rPr>
          <w:lang w:val="pt-BR"/>
        </w:rPr>
      </w:pPr>
      <w:r>
        <w:rPr>
          <w:lang w:val="pt-BR"/>
        </w:rPr>
        <w:t>1. Ủy ban nhân dân các cấp.</w:t>
      </w:r>
    </w:p>
    <w:p w14:paraId="3A7F8FE3">
      <w:pPr>
        <w:ind w:firstLine="720"/>
        <w:rPr>
          <w:lang w:val="pt-BR"/>
        </w:rPr>
      </w:pPr>
      <w:r>
        <w:rPr>
          <w:lang w:val="pt-BR"/>
        </w:rPr>
        <w:t>2. Cơ quan thực hiện chức năng quản lý nhà nước về đất đai; cơ quan có chức năng xây dựng, sửa đổi, bổ sung, thẩm định, quyết định bảng giá đất, hệ số điều chỉnh giá đất.</w:t>
      </w:r>
    </w:p>
    <w:p w14:paraId="4ABFC1F1">
      <w:pPr>
        <w:ind w:firstLine="720"/>
        <w:rPr>
          <w:lang w:val="pt-BR"/>
        </w:rPr>
      </w:pPr>
      <w:r>
        <w:rPr>
          <w:lang w:val="pt-BR"/>
        </w:rPr>
        <w:t>3. Người sử dụng đất, tổ chức, cá nhân khác có liên quan.</w:t>
      </w:r>
    </w:p>
    <w:p w14:paraId="39802985">
      <w:pPr>
        <w:ind w:firstLine="720"/>
        <w:rPr>
          <w:b/>
          <w:lang w:val="pt-BR"/>
        </w:rPr>
      </w:pPr>
      <w:r>
        <w:rPr>
          <w:b/>
          <w:lang w:val="pt-BR"/>
        </w:rPr>
        <w:t>Điều 3. Giải thích từ ngữ</w:t>
      </w:r>
    </w:p>
    <w:p w14:paraId="04C5AD89">
      <w:pPr>
        <w:ind w:firstLine="720"/>
        <w:rPr>
          <w:lang w:val="pt-BR"/>
        </w:rPr>
      </w:pPr>
      <w:r>
        <w:rPr>
          <w:lang w:val="pt-BR"/>
        </w:rPr>
        <w:t>1. Ký hiệu các hệ số trong Quyết định này được hiểu như sau:</w:t>
      </w:r>
    </w:p>
    <w:p w14:paraId="2E9F088F">
      <w:pPr>
        <w:ind w:firstLine="720"/>
        <w:rPr>
          <w:lang w:val="pt-BR"/>
        </w:rPr>
      </w:pPr>
      <w:r>
        <w:rPr>
          <w:lang w:val="pt-BR"/>
        </w:rPr>
        <w:t>a) K</w:t>
      </w:r>
      <w:r>
        <w:rPr>
          <w:vertAlign w:val="subscript"/>
          <w:lang w:val="pt-BR"/>
        </w:rPr>
        <w:t>tt</w:t>
      </w:r>
      <w:r>
        <w:rPr>
          <w:lang w:val="pt-BR"/>
        </w:rPr>
        <w:t xml:space="preserve"> là hệ số điều chỉnh mức biến động thị trường;</w:t>
      </w:r>
    </w:p>
    <w:p w14:paraId="26181ABC">
      <w:pPr>
        <w:ind w:firstLine="720"/>
        <w:rPr>
          <w:lang w:val="pt-BR"/>
        </w:rPr>
      </w:pPr>
      <w:r>
        <w:rPr>
          <w:lang w:val="pt-BR"/>
        </w:rPr>
        <w:t>b) K</w:t>
      </w:r>
      <w:r>
        <w:rPr>
          <w:vertAlign w:val="subscript"/>
          <w:lang w:val="pt-BR"/>
        </w:rPr>
        <w:t xml:space="preserve">qh </w:t>
      </w:r>
      <w:r>
        <w:rPr>
          <w:lang w:val="pt-BR"/>
        </w:rPr>
        <w:t>là hệ số điều chỉnh theo quy hoạch;</w:t>
      </w:r>
    </w:p>
    <w:p w14:paraId="05C66E66">
      <w:pPr>
        <w:ind w:firstLine="720"/>
        <w:rPr>
          <w:lang w:val="pt-BR"/>
        </w:rPr>
      </w:pPr>
      <w:r>
        <w:rPr>
          <w:lang w:val="pt-BR"/>
        </w:rPr>
        <w:t>c) K</w:t>
      </w:r>
      <w:r>
        <w:rPr>
          <w:vertAlign w:val="subscript"/>
          <w:lang w:val="pt-BR"/>
        </w:rPr>
        <w:t>kh</w:t>
      </w:r>
      <w:r>
        <w:rPr>
          <w:lang w:val="pt-BR"/>
        </w:rPr>
        <w:t xml:space="preserve"> là hệ số điều chỉnh theo yếu tố khác ảnh hưởng đến giá đất; </w:t>
      </w:r>
    </w:p>
    <w:p w14:paraId="2885F933">
      <w:pPr>
        <w:ind w:firstLine="720"/>
        <w:rPr>
          <w:lang w:val="pt-BR"/>
        </w:rPr>
      </w:pPr>
      <w:r>
        <w:rPr>
          <w:lang w:val="pt-BR"/>
        </w:rPr>
        <w:t>d) K là hệ số điều chỉnh giá đất.</w:t>
      </w:r>
    </w:p>
    <w:p w14:paraId="36B5F192">
      <w:pPr>
        <w:ind w:firstLine="720"/>
        <w:rPr>
          <w:color w:val="EE0000"/>
          <w:lang w:val="pt-BR"/>
        </w:rPr>
      </w:pPr>
      <w:r>
        <w:rPr>
          <w:lang w:val="pt-BR"/>
        </w:rPr>
        <w:t xml:space="preserve">2. Bảng giá đất do Hội đồng nhân dân tỉnh ban hành là Bảng giá đất ban hành kèm theo các Nghị quyết: </w:t>
      </w:r>
      <w:r>
        <w:rPr>
          <w:iCs/>
          <w:lang w:val="pt-BR"/>
        </w:rPr>
        <w:t>số 176/2025/NQ-HĐND quy định Bảng giá đất lần đầu áp dụng từ ngày 01 tháng 01 năm 2026 trên địa bàn tỉnh Hà Tĩnh</w:t>
      </w:r>
      <w:r>
        <w:rPr>
          <w:i/>
          <w:lang w:val="pt-BR"/>
        </w:rPr>
        <w:t xml:space="preserve">; </w:t>
      </w:r>
      <w:r>
        <w:rPr>
          <w:lang w:val="pt-BR"/>
        </w:rPr>
        <w:t xml:space="preserve">số </w:t>
      </w:r>
      <w:r>
        <w:rPr>
          <w:color w:val="EE0000"/>
          <w:lang w:val="pt-BR"/>
        </w:rPr>
        <w:t xml:space="preserve">.../..../NQ-HĐND ngày ... tháng ... năm 2026 </w:t>
      </w:r>
      <w:r>
        <w:rPr>
          <w:lang w:val="pt-BR"/>
        </w:rPr>
        <w:t>quy định sửa đổi, bổ sung Bảng giá đất lần đầu áp dụng từ ngày 01 tháng 01 năm 2026 trên địa bàn tỉnh Hà Tĩnh.</w:t>
      </w:r>
    </w:p>
    <w:p w14:paraId="7D0131EC">
      <w:pPr>
        <w:ind w:firstLine="720"/>
        <w:rPr>
          <w:b/>
          <w:lang w:val="sv-SE"/>
        </w:rPr>
      </w:pPr>
      <w:r>
        <w:rPr>
          <w:b/>
          <w:lang w:val="pt-BR"/>
        </w:rPr>
        <w:t>Điều 4. Hệ số điều chỉnh giá đất</w:t>
      </w:r>
    </w:p>
    <w:p w14:paraId="31E51A4E">
      <w:pPr>
        <w:ind w:firstLine="720"/>
        <w:rPr>
          <w:color w:val="EE0000"/>
          <w:lang w:val="sv-SE"/>
        </w:rPr>
      </w:pPr>
      <w:bookmarkStart w:id="0" w:name="dieu_4"/>
      <w:bookmarkStart w:id="1" w:name="_Hlk227155825"/>
      <w:r>
        <w:rPr>
          <w:lang w:val="pt-BR"/>
        </w:rPr>
        <w:t xml:space="preserve">Hệ số điều chỉnh giá đất đối với các loại đất ban hành kèm theo các Nghị quyết </w:t>
      </w:r>
      <w:r>
        <w:rPr>
          <w:iCs/>
          <w:lang w:val="pt-BR"/>
        </w:rPr>
        <w:t xml:space="preserve">số 176/2025/NQ-HĐND và </w:t>
      </w:r>
      <w:r>
        <w:rPr>
          <w:color w:val="EE0000"/>
          <w:lang w:val="pt-BR"/>
        </w:rPr>
        <w:t>số .../2026/NQ-HĐND</w:t>
      </w:r>
      <w:r>
        <w:rPr>
          <w:lang w:val="pt-BR"/>
        </w:rPr>
        <w:t xml:space="preserve"> của Hội đồng </w:t>
      </w:r>
      <w:r>
        <w:rPr>
          <w:lang w:val="sv-SE"/>
        </w:rPr>
        <w:t>nhân dân tỉnh được tính theo công thức:</w:t>
      </w:r>
    </w:p>
    <w:p w14:paraId="3D2EE7A5">
      <w:pPr>
        <w:jc w:val="center"/>
        <w:rPr>
          <w:lang w:val="nb-NO"/>
        </w:rPr>
      </w:pPr>
      <w:r>
        <w:rPr>
          <w:lang w:val="nb-NO"/>
        </w:rPr>
        <w:t>K = K</w:t>
      </w:r>
      <w:r>
        <w:rPr>
          <w:vertAlign w:val="subscript"/>
          <w:lang w:val="nb-NO"/>
        </w:rPr>
        <w:t xml:space="preserve">tt </w:t>
      </w:r>
      <w:r>
        <w:rPr>
          <w:lang w:val="nb-NO"/>
        </w:rPr>
        <w:t>x K</w:t>
      </w:r>
      <w:r>
        <w:rPr>
          <w:vertAlign w:val="subscript"/>
          <w:lang w:val="nb-NO"/>
        </w:rPr>
        <w:t>qh</w:t>
      </w:r>
      <w:r>
        <w:rPr>
          <w:lang w:val="nb-NO"/>
        </w:rPr>
        <w:t xml:space="preserve"> x K</w:t>
      </w:r>
      <w:r>
        <w:rPr>
          <w:vertAlign w:val="subscript"/>
          <w:lang w:val="nb-NO"/>
        </w:rPr>
        <w:t>kh</w:t>
      </w:r>
    </w:p>
    <w:p w14:paraId="4B797F74">
      <w:pPr>
        <w:ind w:firstLine="720"/>
        <w:rPr>
          <w:b/>
          <w:lang w:val="sv-SE"/>
        </w:rPr>
      </w:pPr>
      <w:r>
        <w:rPr>
          <w:lang w:val="nb-NO"/>
        </w:rPr>
        <w:t>Trong đó:</w:t>
      </w:r>
    </w:p>
    <w:p w14:paraId="0F1B6F2B">
      <w:pPr>
        <w:ind w:firstLine="720"/>
        <w:rPr>
          <w:lang w:val="sv-SE"/>
        </w:rPr>
      </w:pPr>
      <w:r>
        <w:rPr>
          <w:lang w:val="sv-SE"/>
        </w:rPr>
        <w:t>1. Hệ số điều chỉnh mức biến động thị trường đối với từng loại đất như sau:</w:t>
      </w:r>
      <w:bookmarkStart w:id="2" w:name="_Hlk227155739"/>
    </w:p>
    <w:p w14:paraId="2A8478EC">
      <w:pPr>
        <w:ind w:firstLine="720"/>
        <w:rPr>
          <w:lang w:val="sv-SE"/>
        </w:rPr>
      </w:pPr>
      <w:r>
        <w:rPr>
          <w:lang w:val="sv-SE"/>
        </w:rPr>
        <w:t>a) Đối với đất ở tại đô thị, đất thương mại, dịch vụ và đất cơ sở sản xuất phi nông nghiệp tại đô thị: K</w:t>
      </w:r>
      <w:r>
        <w:rPr>
          <w:vertAlign w:val="subscript"/>
          <w:lang w:val="sv-SE"/>
        </w:rPr>
        <w:t>tt</w:t>
      </w:r>
      <w:r>
        <w:rPr>
          <w:lang w:val="sv-SE"/>
        </w:rPr>
        <w:t xml:space="preserve"> quy định tại Bảng 01 kèm theo Quyết định này;</w:t>
      </w:r>
    </w:p>
    <w:p w14:paraId="371FC755">
      <w:pPr>
        <w:ind w:firstLine="720"/>
        <w:rPr>
          <w:spacing w:val="-2"/>
          <w:lang w:val="sv-SE"/>
        </w:rPr>
      </w:pPr>
      <w:r>
        <w:rPr>
          <w:spacing w:val="-2"/>
          <w:lang w:val="sv-SE"/>
        </w:rPr>
        <w:t>b) Đối với đất ở tại nông thôn, đất thương mại, dịch vụ và đất cơ sở sản xuất phi nông nghiệp tại nông thôn: K</w:t>
      </w:r>
      <w:r>
        <w:rPr>
          <w:spacing w:val="-2"/>
          <w:vertAlign w:val="subscript"/>
          <w:lang w:val="sv-SE"/>
        </w:rPr>
        <w:t>tt</w:t>
      </w:r>
      <w:r>
        <w:rPr>
          <w:spacing w:val="-2"/>
          <w:lang w:val="sv-SE"/>
        </w:rPr>
        <w:t xml:space="preserve"> quy định tại Bảng 02 kèm theo Quyết định này;</w:t>
      </w:r>
    </w:p>
    <w:p w14:paraId="592EDA4C">
      <w:pPr>
        <w:ind w:firstLine="720"/>
        <w:rPr>
          <w:lang w:val="sv-SE"/>
        </w:rPr>
      </w:pPr>
      <w:r>
        <w:rPr>
          <w:lang w:val="sv-SE"/>
        </w:rPr>
        <w:t>c) Đối với các loại đất khác: K</w:t>
      </w:r>
      <w:r>
        <w:rPr>
          <w:vertAlign w:val="subscript"/>
          <w:lang w:val="sv-SE"/>
        </w:rPr>
        <w:t>tt</w:t>
      </w:r>
      <w:r>
        <w:rPr>
          <w:lang w:val="sv-SE"/>
        </w:rPr>
        <w:t xml:space="preserve"> = 1;</w:t>
      </w:r>
    </w:p>
    <w:p w14:paraId="75798E51">
      <w:pPr>
        <w:ind w:firstLine="720"/>
        <w:rPr>
          <w:lang w:val="sv-SE"/>
        </w:rPr>
      </w:pPr>
      <w:r>
        <w:rPr>
          <w:lang w:val="sv-SE"/>
        </w:rPr>
        <w:t>d) Trường hợp sửa đổi, bổ sung bảng giá đất, kể từ thời điểm bảng giá đất sửa đổi, bổ sung được cơ quan có thẩm quyền ban hành và có hiệu lực thi hành thì hệ số điều chỉnh mức biến động thị trường (K</w:t>
      </w:r>
      <w:r>
        <w:rPr>
          <w:vertAlign w:val="subscript"/>
          <w:lang w:val="sv-SE"/>
        </w:rPr>
        <w:t>tt</w:t>
      </w:r>
      <w:r>
        <w:rPr>
          <w:lang w:val="sv-SE"/>
        </w:rPr>
        <w:t>) tại khu vực, vị trí được sửa đổi, bổ sung</w:t>
      </w:r>
      <w:bookmarkEnd w:id="2"/>
      <w:r>
        <w:rPr>
          <w:lang w:val="sv-SE"/>
        </w:rPr>
        <w:t xml:space="preserve"> có giá trị bằng 1 cho đến khi Ủy ban nhân dân tỉnh ban hành quyết định sửa đổi, bổ sung, thay thế hệ số điều chỉnh giá đất. </w:t>
      </w:r>
    </w:p>
    <w:p w14:paraId="5355AB2B">
      <w:pPr>
        <w:ind w:firstLine="720"/>
        <w:rPr>
          <w:lang w:val="sv-SE"/>
        </w:rPr>
      </w:pPr>
      <w:r>
        <w:rPr>
          <w:lang w:val="sv-SE"/>
        </w:rPr>
        <w:t>2. Hệ số điều chỉnh theo quy hoạch đối với từng loại đất như sau:</w:t>
      </w:r>
    </w:p>
    <w:p w14:paraId="18946046">
      <w:pPr>
        <w:ind w:firstLine="720"/>
        <w:rPr>
          <w:lang w:val="sv-SE"/>
        </w:rPr>
      </w:pPr>
      <w:r>
        <w:rPr>
          <w:lang w:val="sv-SE"/>
        </w:rPr>
        <w:t>a) Đối với đất ở để thực hiện dự án đầu tư kinh doanh đất ở, nhà ở; đất thương mại, dịch vụ; đất sản xuất, kinh doanh phi nông nghiệp tại khu công nghiệp, cụm công nghiệp, hệ số điều chỉnh theo quy hoạch (K</w:t>
      </w:r>
      <w:r>
        <w:rPr>
          <w:vertAlign w:val="subscript"/>
          <w:lang w:val="sv-SE"/>
        </w:rPr>
        <w:t>qh</w:t>
      </w:r>
      <w:r>
        <w:rPr>
          <w:lang w:val="sv-SE"/>
        </w:rPr>
        <w:t>) được xác định như sau:</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245"/>
        <w:gridCol w:w="2971"/>
      </w:tblGrid>
      <w:tr w14:paraId="2CD0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1051F1">
            <w:pPr>
              <w:spacing w:before="100" w:after="100"/>
              <w:jc w:val="center"/>
              <w:rPr>
                <w:b/>
                <w:bCs/>
                <w:lang w:val="sv-SE"/>
              </w:rPr>
            </w:pPr>
            <w:r>
              <w:rPr>
                <w:b/>
                <w:bCs/>
                <w:lang w:val="sv-SE"/>
              </w:rPr>
              <w:t>STT</w:t>
            </w:r>
          </w:p>
        </w:tc>
        <w:tc>
          <w:tcPr>
            <w:tcW w:w="5245" w:type="dxa"/>
            <w:vAlign w:val="center"/>
          </w:tcPr>
          <w:p w14:paraId="17245183">
            <w:pPr>
              <w:spacing w:before="100" w:after="100"/>
              <w:jc w:val="center"/>
              <w:rPr>
                <w:b/>
                <w:bCs/>
                <w:lang w:val="sv-SE"/>
              </w:rPr>
            </w:pPr>
            <w:r>
              <w:rPr>
                <w:b/>
                <w:bCs/>
                <w:lang w:val="sv-SE"/>
              </w:rPr>
              <w:t>Hệ số sử dụng đất</w:t>
            </w:r>
          </w:p>
        </w:tc>
        <w:tc>
          <w:tcPr>
            <w:tcW w:w="2971" w:type="dxa"/>
            <w:vAlign w:val="center"/>
          </w:tcPr>
          <w:p w14:paraId="6757C297">
            <w:pPr>
              <w:spacing w:before="100" w:after="100"/>
              <w:jc w:val="center"/>
              <w:rPr>
                <w:b/>
                <w:bCs/>
                <w:lang w:val="sv-SE"/>
              </w:rPr>
            </w:pPr>
            <w:r>
              <w:rPr>
                <w:b/>
                <w:bCs/>
                <w:lang w:val="sv-SE"/>
              </w:rPr>
              <w:t>Hệ số điều chỉnh theo quy hoạch (K</w:t>
            </w:r>
            <w:r>
              <w:rPr>
                <w:b/>
                <w:bCs/>
                <w:vertAlign w:val="subscript"/>
                <w:lang w:val="sv-SE"/>
              </w:rPr>
              <w:t>qh</w:t>
            </w:r>
            <w:r>
              <w:rPr>
                <w:b/>
                <w:bCs/>
                <w:lang w:val="sv-SE"/>
              </w:rPr>
              <w:t>)</w:t>
            </w:r>
          </w:p>
        </w:tc>
      </w:tr>
      <w:tr w14:paraId="4F42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040A3DB">
            <w:pPr>
              <w:spacing w:before="100" w:after="100"/>
              <w:jc w:val="center"/>
              <w:rPr>
                <w:lang w:val="sv-SE"/>
              </w:rPr>
            </w:pPr>
            <w:r>
              <w:rPr>
                <w:lang w:val="sv-SE"/>
              </w:rPr>
              <w:t>1</w:t>
            </w:r>
          </w:p>
        </w:tc>
        <w:tc>
          <w:tcPr>
            <w:tcW w:w="5245" w:type="dxa"/>
            <w:vAlign w:val="center"/>
          </w:tcPr>
          <w:p w14:paraId="0ADADE21">
            <w:pPr>
              <w:spacing w:before="100" w:after="100"/>
              <w:jc w:val="left"/>
              <w:rPr>
                <w:lang w:val="sv-SE"/>
              </w:rPr>
            </w:pPr>
            <w:r>
              <w:rPr>
                <w:lang w:val="sv-SE"/>
              </w:rPr>
              <w:t>Dưới 3 lần</w:t>
            </w:r>
          </w:p>
        </w:tc>
        <w:tc>
          <w:tcPr>
            <w:tcW w:w="2971" w:type="dxa"/>
            <w:vAlign w:val="center"/>
          </w:tcPr>
          <w:p w14:paraId="09885C1A">
            <w:pPr>
              <w:spacing w:before="100" w:after="100"/>
              <w:jc w:val="center"/>
              <w:rPr>
                <w:lang w:val="sv-SE"/>
              </w:rPr>
            </w:pPr>
            <w:r>
              <w:rPr>
                <w:lang w:val="sv-SE"/>
              </w:rPr>
              <w:t>1,00</w:t>
            </w:r>
          </w:p>
        </w:tc>
      </w:tr>
      <w:tr w14:paraId="0652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497929A">
            <w:pPr>
              <w:spacing w:before="100" w:after="100"/>
              <w:jc w:val="center"/>
              <w:rPr>
                <w:lang w:val="sv-SE"/>
              </w:rPr>
            </w:pPr>
            <w:r>
              <w:rPr>
                <w:lang w:val="sv-SE"/>
              </w:rPr>
              <w:t>2</w:t>
            </w:r>
          </w:p>
        </w:tc>
        <w:tc>
          <w:tcPr>
            <w:tcW w:w="5245" w:type="dxa"/>
            <w:vAlign w:val="center"/>
          </w:tcPr>
          <w:p w14:paraId="55DFEF8B">
            <w:pPr>
              <w:spacing w:before="100" w:after="100"/>
              <w:jc w:val="left"/>
              <w:rPr>
                <w:lang w:val="sv-SE"/>
              </w:rPr>
            </w:pPr>
            <w:r>
              <w:rPr>
                <w:rFonts w:eastAsia="Times New Roman"/>
                <w:lang w:val="sv-SE"/>
              </w:rPr>
              <w:t>Từ 3 lần đến dưới 4 lần</w:t>
            </w:r>
          </w:p>
        </w:tc>
        <w:tc>
          <w:tcPr>
            <w:tcW w:w="2971" w:type="dxa"/>
            <w:vAlign w:val="center"/>
          </w:tcPr>
          <w:p w14:paraId="0AF579EC">
            <w:pPr>
              <w:spacing w:before="100" w:after="100"/>
              <w:jc w:val="center"/>
              <w:rPr>
                <w:lang w:val="sv-SE"/>
              </w:rPr>
            </w:pPr>
            <w:r>
              <w:rPr>
                <w:lang w:val="sv-SE"/>
              </w:rPr>
              <w:t>1,05</w:t>
            </w:r>
          </w:p>
        </w:tc>
      </w:tr>
      <w:tr w14:paraId="6C8A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C87F9E3">
            <w:pPr>
              <w:spacing w:before="100" w:after="100"/>
              <w:jc w:val="center"/>
              <w:rPr>
                <w:lang w:val="sv-SE"/>
              </w:rPr>
            </w:pPr>
            <w:r>
              <w:rPr>
                <w:lang w:val="sv-SE"/>
              </w:rPr>
              <w:t>3</w:t>
            </w:r>
          </w:p>
        </w:tc>
        <w:tc>
          <w:tcPr>
            <w:tcW w:w="5245" w:type="dxa"/>
            <w:vAlign w:val="center"/>
          </w:tcPr>
          <w:p w14:paraId="578A3A5A">
            <w:pPr>
              <w:spacing w:before="100" w:after="100"/>
              <w:jc w:val="left"/>
              <w:rPr>
                <w:lang w:val="sv-SE"/>
              </w:rPr>
            </w:pPr>
            <w:r>
              <w:rPr>
                <w:rFonts w:eastAsia="Times New Roman"/>
                <w:lang w:val="sv-SE"/>
              </w:rPr>
              <w:t>Từ 4 lần đến dưới 5 lần</w:t>
            </w:r>
          </w:p>
        </w:tc>
        <w:tc>
          <w:tcPr>
            <w:tcW w:w="2971" w:type="dxa"/>
            <w:vAlign w:val="center"/>
          </w:tcPr>
          <w:p w14:paraId="6CED7412">
            <w:pPr>
              <w:spacing w:before="100" w:after="100"/>
              <w:jc w:val="center"/>
              <w:rPr>
                <w:lang w:val="sv-SE"/>
              </w:rPr>
            </w:pPr>
            <w:r>
              <w:rPr>
                <w:lang w:val="sv-SE"/>
              </w:rPr>
              <w:t>1,10</w:t>
            </w:r>
          </w:p>
        </w:tc>
      </w:tr>
      <w:tr w14:paraId="45B7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81A88B">
            <w:pPr>
              <w:spacing w:before="100" w:after="100"/>
              <w:jc w:val="center"/>
              <w:rPr>
                <w:lang w:val="sv-SE"/>
              </w:rPr>
            </w:pPr>
            <w:r>
              <w:rPr>
                <w:lang w:val="sv-SE"/>
              </w:rPr>
              <w:t>4</w:t>
            </w:r>
          </w:p>
        </w:tc>
        <w:tc>
          <w:tcPr>
            <w:tcW w:w="5245" w:type="dxa"/>
            <w:vAlign w:val="center"/>
          </w:tcPr>
          <w:p w14:paraId="182BC3E6">
            <w:pPr>
              <w:spacing w:before="100" w:after="100"/>
              <w:jc w:val="left"/>
              <w:rPr>
                <w:lang w:val="sv-SE"/>
              </w:rPr>
            </w:pPr>
            <w:r>
              <w:rPr>
                <w:rFonts w:eastAsia="Times New Roman"/>
                <w:lang w:val="sv-SE"/>
              </w:rPr>
              <w:t>Từ 5 lần đến dưới 6 lần</w:t>
            </w:r>
          </w:p>
        </w:tc>
        <w:tc>
          <w:tcPr>
            <w:tcW w:w="2971" w:type="dxa"/>
            <w:vAlign w:val="center"/>
          </w:tcPr>
          <w:p w14:paraId="62071B81">
            <w:pPr>
              <w:spacing w:before="100" w:after="100"/>
              <w:jc w:val="center"/>
              <w:rPr>
                <w:lang w:val="sv-SE"/>
              </w:rPr>
            </w:pPr>
            <w:r>
              <w:rPr>
                <w:lang w:val="sv-SE"/>
              </w:rPr>
              <w:t>1,15</w:t>
            </w:r>
          </w:p>
        </w:tc>
      </w:tr>
      <w:tr w14:paraId="325C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853B68">
            <w:pPr>
              <w:spacing w:before="100" w:after="100"/>
              <w:jc w:val="center"/>
              <w:rPr>
                <w:lang w:val="sv-SE"/>
              </w:rPr>
            </w:pPr>
            <w:r>
              <w:rPr>
                <w:lang w:val="sv-SE"/>
              </w:rPr>
              <w:t>5</w:t>
            </w:r>
          </w:p>
        </w:tc>
        <w:tc>
          <w:tcPr>
            <w:tcW w:w="5245" w:type="dxa"/>
            <w:vAlign w:val="center"/>
          </w:tcPr>
          <w:p w14:paraId="1C44B929">
            <w:pPr>
              <w:spacing w:before="100" w:after="100"/>
              <w:jc w:val="left"/>
              <w:rPr>
                <w:lang w:val="sv-SE"/>
              </w:rPr>
            </w:pPr>
            <w:r>
              <w:rPr>
                <w:rFonts w:eastAsia="Times New Roman"/>
              </w:rPr>
              <w:t>Từ 6 lần trở lên</w:t>
            </w:r>
          </w:p>
        </w:tc>
        <w:tc>
          <w:tcPr>
            <w:tcW w:w="2971" w:type="dxa"/>
            <w:vAlign w:val="center"/>
          </w:tcPr>
          <w:p w14:paraId="13800C19">
            <w:pPr>
              <w:spacing w:before="100" w:after="100"/>
              <w:jc w:val="center"/>
              <w:rPr>
                <w:lang w:val="sv-SE"/>
              </w:rPr>
            </w:pPr>
            <w:r>
              <w:rPr>
                <w:lang w:val="sv-SE"/>
              </w:rPr>
              <w:t>1,20</w:t>
            </w:r>
          </w:p>
        </w:tc>
      </w:tr>
    </w:tbl>
    <w:p w14:paraId="0F3E1421">
      <w:pPr>
        <w:spacing w:before="120"/>
        <w:ind w:firstLine="720"/>
        <w:rPr>
          <w:lang w:val="sv-SE"/>
        </w:rPr>
      </w:pPr>
      <w:r>
        <w:t>b) Đối với đất nông nghiệp, đất phi nông nghiệp còn lại: K</w:t>
      </w:r>
      <w:r>
        <w:rPr>
          <w:vertAlign w:val="subscript"/>
        </w:rPr>
        <w:t xml:space="preserve">qh </w:t>
      </w:r>
      <w:r>
        <w:t>=1.</w:t>
      </w:r>
    </w:p>
    <w:p w14:paraId="5B970064">
      <w:pPr>
        <w:ind w:firstLine="720"/>
        <w:rPr>
          <w:lang w:val="sv-SE"/>
        </w:rPr>
      </w:pPr>
      <w:r>
        <w:rPr>
          <w:lang w:val="sv-SE"/>
        </w:rPr>
        <w:t>3. Hệ số điều chỉnh theo yếu tố khác ảnh hưởng đến giá đất được xác định như sau:</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5245"/>
        <w:gridCol w:w="2971"/>
      </w:tblGrid>
      <w:tr w14:paraId="2762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6" w:type="dxa"/>
            <w:vAlign w:val="center"/>
          </w:tcPr>
          <w:p w14:paraId="08F30122">
            <w:pPr>
              <w:spacing w:before="80" w:after="80"/>
              <w:jc w:val="center"/>
              <w:rPr>
                <w:b/>
                <w:bCs/>
                <w:lang w:val="sv-SE"/>
              </w:rPr>
            </w:pPr>
            <w:r>
              <w:rPr>
                <w:b/>
                <w:bCs/>
                <w:lang w:val="sv-SE"/>
              </w:rPr>
              <w:t>STT</w:t>
            </w:r>
          </w:p>
        </w:tc>
        <w:tc>
          <w:tcPr>
            <w:tcW w:w="5245" w:type="dxa"/>
            <w:vAlign w:val="center"/>
          </w:tcPr>
          <w:p w14:paraId="6D7F2E48">
            <w:pPr>
              <w:spacing w:before="80" w:after="80"/>
              <w:jc w:val="center"/>
              <w:rPr>
                <w:b/>
                <w:bCs/>
                <w:lang w:val="sv-SE"/>
              </w:rPr>
            </w:pPr>
            <w:r>
              <w:rPr>
                <w:b/>
                <w:bCs/>
                <w:lang w:val="sv-SE"/>
              </w:rPr>
              <w:t>Yếu tố ảnh hưởng</w:t>
            </w:r>
          </w:p>
        </w:tc>
        <w:tc>
          <w:tcPr>
            <w:tcW w:w="2971" w:type="dxa"/>
            <w:vAlign w:val="center"/>
          </w:tcPr>
          <w:p w14:paraId="431F6B44">
            <w:pPr>
              <w:spacing w:before="80" w:after="80"/>
              <w:jc w:val="center"/>
              <w:rPr>
                <w:b/>
                <w:bCs/>
                <w:lang w:val="sv-SE"/>
              </w:rPr>
            </w:pPr>
            <w:r>
              <w:rPr>
                <w:b/>
                <w:bCs/>
                <w:lang w:val="sv-SE"/>
              </w:rPr>
              <w:t>Hệ số điều chỉnh theo yếu tố khác ảnh hưởng đến giá đất (K</w:t>
            </w:r>
            <w:r>
              <w:rPr>
                <w:b/>
                <w:bCs/>
                <w:vertAlign w:val="subscript"/>
                <w:lang w:val="sv-SE"/>
              </w:rPr>
              <w:t>kh</w:t>
            </w:r>
            <w:r>
              <w:rPr>
                <w:b/>
                <w:bCs/>
                <w:lang w:val="sv-SE"/>
              </w:rPr>
              <w:t>)</w:t>
            </w:r>
          </w:p>
        </w:tc>
      </w:tr>
      <w:tr w14:paraId="1097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2A4F088">
            <w:pPr>
              <w:spacing w:before="80" w:after="80"/>
              <w:jc w:val="center"/>
              <w:rPr>
                <w:lang w:val="sv-SE"/>
              </w:rPr>
            </w:pPr>
            <w:r>
              <w:t>1</w:t>
            </w:r>
          </w:p>
        </w:tc>
        <w:tc>
          <w:tcPr>
            <w:tcW w:w="5245" w:type="dxa"/>
            <w:vAlign w:val="center"/>
          </w:tcPr>
          <w:p w14:paraId="1CAC6ED8">
            <w:pPr>
              <w:spacing w:before="80" w:after="80"/>
              <w:rPr>
                <w:lang w:val="sv-SE"/>
              </w:rPr>
            </w:pPr>
            <w:r>
              <w:rPr>
                <w:lang w:val="nl-NL"/>
              </w:rPr>
              <w:t>Thửa đất ở tiếp giáp hoặc có mặt tiền đối diện với:</w:t>
            </w:r>
          </w:p>
        </w:tc>
        <w:tc>
          <w:tcPr>
            <w:tcW w:w="2971" w:type="dxa"/>
            <w:vAlign w:val="center"/>
          </w:tcPr>
          <w:p w14:paraId="1E251B5A">
            <w:pPr>
              <w:spacing w:before="80" w:after="80"/>
              <w:jc w:val="center"/>
              <w:rPr>
                <w:lang w:val="sv-SE"/>
              </w:rPr>
            </w:pPr>
          </w:p>
        </w:tc>
      </w:tr>
      <w:tr w14:paraId="7D74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7A1E50F">
            <w:pPr>
              <w:spacing w:before="80" w:after="80"/>
              <w:jc w:val="center"/>
              <w:rPr>
                <w:lang w:val="sv-SE"/>
              </w:rPr>
            </w:pPr>
            <w:r>
              <w:t>a</w:t>
            </w:r>
          </w:p>
        </w:tc>
        <w:tc>
          <w:tcPr>
            <w:tcW w:w="5245" w:type="dxa"/>
            <w:vAlign w:val="center"/>
          </w:tcPr>
          <w:p w14:paraId="68DD1E61">
            <w:pPr>
              <w:spacing w:before="80" w:after="80"/>
              <w:rPr>
                <w:lang w:val="sv-SE"/>
              </w:rPr>
            </w:pPr>
            <w:r>
              <w:rPr>
                <w:lang w:val="nl-NL"/>
              </w:rPr>
              <w:t>Đất nghĩa trang (bao gồm mồ, mả riêng lẻ), nhà tang lễ, cơ sở hỏa táng, đất cơ sở lưu giữ tro cốt, đền, chùa, miếu</w:t>
            </w:r>
          </w:p>
        </w:tc>
        <w:tc>
          <w:tcPr>
            <w:tcW w:w="2971" w:type="dxa"/>
            <w:vAlign w:val="center"/>
          </w:tcPr>
          <w:p w14:paraId="05E35658">
            <w:pPr>
              <w:spacing w:before="80" w:after="80"/>
              <w:jc w:val="center"/>
              <w:rPr>
                <w:lang w:val="sv-SE"/>
              </w:rPr>
            </w:pPr>
            <w:r>
              <w:t>0,9</w:t>
            </w:r>
          </w:p>
        </w:tc>
      </w:tr>
      <w:tr w14:paraId="65EA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D003CA1">
            <w:pPr>
              <w:spacing w:before="80" w:after="80"/>
              <w:jc w:val="center"/>
              <w:rPr>
                <w:lang w:val="sv-SE"/>
              </w:rPr>
            </w:pPr>
            <w:r>
              <w:t>b</w:t>
            </w:r>
          </w:p>
        </w:tc>
        <w:tc>
          <w:tcPr>
            <w:tcW w:w="5245" w:type="dxa"/>
            <w:vAlign w:val="center"/>
          </w:tcPr>
          <w:p w14:paraId="5D22934D">
            <w:pPr>
              <w:spacing w:before="80" w:after="80"/>
              <w:rPr>
                <w:lang w:val="sv-SE"/>
              </w:rPr>
            </w:pPr>
            <w:r>
              <w:rPr>
                <w:lang w:val="nl-NL"/>
              </w:rPr>
              <w:t>Trại giam, cơ sở cai nghiện ma túy, trường giáo dưỡng</w:t>
            </w:r>
          </w:p>
        </w:tc>
        <w:tc>
          <w:tcPr>
            <w:tcW w:w="2971" w:type="dxa"/>
            <w:vAlign w:val="center"/>
          </w:tcPr>
          <w:p w14:paraId="1279CE43">
            <w:pPr>
              <w:spacing w:before="80" w:after="80"/>
              <w:jc w:val="center"/>
              <w:rPr>
                <w:lang w:val="sv-SE"/>
              </w:rPr>
            </w:pPr>
            <w:r>
              <w:t>0,9</w:t>
            </w:r>
          </w:p>
        </w:tc>
      </w:tr>
      <w:tr w14:paraId="7005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4D33D02">
            <w:pPr>
              <w:spacing w:before="80" w:after="80"/>
              <w:jc w:val="center"/>
              <w:rPr>
                <w:lang w:val="sv-SE"/>
              </w:rPr>
            </w:pPr>
            <w:r>
              <w:t>c</w:t>
            </w:r>
          </w:p>
        </w:tc>
        <w:tc>
          <w:tcPr>
            <w:tcW w:w="5245" w:type="dxa"/>
            <w:vAlign w:val="center"/>
          </w:tcPr>
          <w:p w14:paraId="06D83173">
            <w:pPr>
              <w:spacing w:before="80" w:after="80"/>
              <w:rPr>
                <w:lang w:val="sv-SE"/>
              </w:rPr>
            </w:pPr>
            <w:r>
              <w:rPr>
                <w:lang w:val="sv-SE"/>
              </w:rPr>
              <w:t>Cơ sở xử lý chất thải</w:t>
            </w:r>
          </w:p>
        </w:tc>
        <w:tc>
          <w:tcPr>
            <w:tcW w:w="2971" w:type="dxa"/>
            <w:vAlign w:val="center"/>
          </w:tcPr>
          <w:p w14:paraId="2EEDB357">
            <w:pPr>
              <w:spacing w:before="80" w:after="80"/>
              <w:jc w:val="center"/>
              <w:rPr>
                <w:lang w:val="sv-SE"/>
              </w:rPr>
            </w:pPr>
            <w:r>
              <w:t>0,9</w:t>
            </w:r>
          </w:p>
        </w:tc>
      </w:tr>
      <w:tr w14:paraId="31FF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54D42AF">
            <w:pPr>
              <w:spacing w:before="80" w:after="80"/>
              <w:jc w:val="center"/>
              <w:rPr>
                <w:lang w:val="sv-SE"/>
              </w:rPr>
            </w:pPr>
            <w:r>
              <w:t>d</w:t>
            </w:r>
          </w:p>
        </w:tc>
        <w:tc>
          <w:tcPr>
            <w:tcW w:w="5245" w:type="dxa"/>
            <w:vAlign w:val="center"/>
          </w:tcPr>
          <w:p w14:paraId="600430B5">
            <w:pPr>
              <w:spacing w:before="80" w:after="80"/>
              <w:rPr>
                <w:lang w:val="sv-SE"/>
              </w:rPr>
            </w:pPr>
            <w:r>
              <w:rPr>
                <w:lang w:val="sv-SE"/>
              </w:rPr>
              <w:t>Cơ sở giết mổ động vật</w:t>
            </w:r>
            <w:r>
              <w:rPr>
                <w:lang w:val="nl-NL"/>
              </w:rPr>
              <w:t>, khu chăn nuôi tập trung</w:t>
            </w:r>
          </w:p>
        </w:tc>
        <w:tc>
          <w:tcPr>
            <w:tcW w:w="2971" w:type="dxa"/>
            <w:vAlign w:val="center"/>
          </w:tcPr>
          <w:p w14:paraId="1BCD6746">
            <w:pPr>
              <w:spacing w:before="80" w:after="80"/>
              <w:jc w:val="center"/>
              <w:rPr>
                <w:lang w:val="sv-SE"/>
              </w:rPr>
            </w:pPr>
            <w:r>
              <w:t>0,9</w:t>
            </w:r>
          </w:p>
        </w:tc>
      </w:tr>
      <w:tr w14:paraId="61DA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A17F642">
            <w:pPr>
              <w:spacing w:before="80" w:after="80"/>
              <w:jc w:val="center"/>
              <w:rPr>
                <w:lang w:val="sv-SE"/>
              </w:rPr>
            </w:pPr>
            <w:r>
              <w:t>2</w:t>
            </w:r>
          </w:p>
        </w:tc>
        <w:tc>
          <w:tcPr>
            <w:tcW w:w="5245" w:type="dxa"/>
            <w:vAlign w:val="center"/>
          </w:tcPr>
          <w:p w14:paraId="744F0CAD">
            <w:pPr>
              <w:spacing w:before="80" w:after="80"/>
              <w:rPr>
                <w:lang w:val="sv-SE"/>
              </w:rPr>
            </w:pPr>
            <w:r>
              <w:rPr>
                <w:lang w:val="nl-NL"/>
              </w:rPr>
              <w:t>Thửa đất ở có mặt tiền tiếp giáp với trạm biến áp, cột điện từ 22kV trở lên</w:t>
            </w:r>
          </w:p>
        </w:tc>
        <w:tc>
          <w:tcPr>
            <w:tcW w:w="2971" w:type="dxa"/>
            <w:vAlign w:val="center"/>
          </w:tcPr>
          <w:p w14:paraId="17A64CB9">
            <w:pPr>
              <w:spacing w:before="80" w:after="80"/>
              <w:jc w:val="center"/>
              <w:rPr>
                <w:lang w:val="sv-SE"/>
              </w:rPr>
            </w:pPr>
            <w:r>
              <w:t>0,9</w:t>
            </w:r>
          </w:p>
        </w:tc>
      </w:tr>
      <w:tr w14:paraId="54AF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99B8DC5">
            <w:pPr>
              <w:spacing w:before="80" w:after="80"/>
              <w:jc w:val="center"/>
              <w:rPr>
                <w:lang w:val="sv-SE"/>
              </w:rPr>
            </w:pPr>
            <w:r>
              <w:t>3</w:t>
            </w:r>
          </w:p>
        </w:tc>
        <w:tc>
          <w:tcPr>
            <w:tcW w:w="5245" w:type="dxa"/>
            <w:vAlign w:val="center"/>
          </w:tcPr>
          <w:p w14:paraId="2F9A63A8">
            <w:pPr>
              <w:spacing w:before="80" w:after="80"/>
              <w:rPr>
                <w:lang w:val="sv-SE"/>
              </w:rPr>
            </w:pPr>
            <w:r>
              <w:rPr>
                <w:lang w:val="sv-SE"/>
              </w:rPr>
              <w:t>Thửa đất ở có đường giao thông đâm thẳng</w:t>
            </w:r>
          </w:p>
        </w:tc>
        <w:tc>
          <w:tcPr>
            <w:tcW w:w="2971" w:type="dxa"/>
            <w:vAlign w:val="center"/>
          </w:tcPr>
          <w:p w14:paraId="50EDFA7F">
            <w:pPr>
              <w:spacing w:before="80" w:after="80"/>
              <w:jc w:val="center"/>
              <w:rPr>
                <w:lang w:val="sv-SE"/>
              </w:rPr>
            </w:pPr>
            <w:r>
              <w:t>0,9</w:t>
            </w:r>
          </w:p>
        </w:tc>
      </w:tr>
      <w:tr w14:paraId="1DD8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D27D631">
            <w:pPr>
              <w:spacing w:before="80" w:after="80"/>
              <w:jc w:val="center"/>
              <w:rPr>
                <w:lang w:val="sv-SE"/>
              </w:rPr>
            </w:pPr>
            <w:r>
              <w:t>4</w:t>
            </w:r>
          </w:p>
        </w:tc>
        <w:tc>
          <w:tcPr>
            <w:tcW w:w="5245" w:type="dxa"/>
            <w:vAlign w:val="center"/>
          </w:tcPr>
          <w:p w14:paraId="0C50FE67">
            <w:pPr>
              <w:spacing w:before="80" w:after="80"/>
              <w:rPr>
                <w:lang w:val="sv-SE"/>
              </w:rPr>
            </w:pPr>
            <w:r>
              <w:rPr>
                <w:lang w:val="nl-NL"/>
              </w:rPr>
              <w:t>Thửa đất, khu đất thương mại, dịch vụ tiếp giáp hoặc có mặt tiền đối diện với:</w:t>
            </w:r>
          </w:p>
        </w:tc>
        <w:tc>
          <w:tcPr>
            <w:tcW w:w="2971" w:type="dxa"/>
            <w:vAlign w:val="center"/>
          </w:tcPr>
          <w:p w14:paraId="1A3C7EC7">
            <w:pPr>
              <w:spacing w:before="80" w:after="80"/>
              <w:jc w:val="center"/>
              <w:rPr>
                <w:lang w:val="sv-SE"/>
              </w:rPr>
            </w:pPr>
          </w:p>
        </w:tc>
      </w:tr>
      <w:tr w14:paraId="7E974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EC46037">
            <w:pPr>
              <w:spacing w:before="80" w:after="80"/>
              <w:jc w:val="center"/>
              <w:rPr>
                <w:lang w:val="sv-SE"/>
              </w:rPr>
            </w:pPr>
            <w:r>
              <w:t>a</w:t>
            </w:r>
          </w:p>
        </w:tc>
        <w:tc>
          <w:tcPr>
            <w:tcW w:w="5245" w:type="dxa"/>
            <w:vAlign w:val="center"/>
          </w:tcPr>
          <w:p w14:paraId="3EABF51F">
            <w:pPr>
              <w:spacing w:before="80" w:after="80"/>
              <w:rPr>
                <w:lang w:val="sv-SE"/>
              </w:rPr>
            </w:pPr>
            <w:r>
              <w:rPr>
                <w:lang w:val="nl-NL"/>
              </w:rPr>
              <w:t>Đất nghĩa trang, nhà tang lễ, cơ sở hóa táng, đất cơ sở lưu giữ tro cốt</w:t>
            </w:r>
          </w:p>
        </w:tc>
        <w:tc>
          <w:tcPr>
            <w:tcW w:w="2971" w:type="dxa"/>
            <w:vAlign w:val="center"/>
          </w:tcPr>
          <w:p w14:paraId="65E7899D">
            <w:pPr>
              <w:spacing w:before="80" w:after="80"/>
              <w:jc w:val="center"/>
              <w:rPr>
                <w:lang w:val="sv-SE"/>
              </w:rPr>
            </w:pPr>
            <w:r>
              <w:t>0,9</w:t>
            </w:r>
          </w:p>
        </w:tc>
      </w:tr>
      <w:tr w14:paraId="2BD5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5BF075">
            <w:pPr>
              <w:spacing w:before="80" w:after="80"/>
              <w:jc w:val="center"/>
              <w:rPr>
                <w:lang w:val="sv-SE"/>
              </w:rPr>
            </w:pPr>
            <w:r>
              <w:t>b</w:t>
            </w:r>
          </w:p>
        </w:tc>
        <w:tc>
          <w:tcPr>
            <w:tcW w:w="5245" w:type="dxa"/>
            <w:vAlign w:val="center"/>
          </w:tcPr>
          <w:p w14:paraId="75248228">
            <w:pPr>
              <w:spacing w:before="80" w:after="80"/>
              <w:rPr>
                <w:lang w:val="sv-SE"/>
              </w:rPr>
            </w:pPr>
            <w:r>
              <w:rPr>
                <w:lang w:val="sv-SE"/>
              </w:rPr>
              <w:t>Cơ sở xử lý chất thải</w:t>
            </w:r>
          </w:p>
        </w:tc>
        <w:tc>
          <w:tcPr>
            <w:tcW w:w="2971" w:type="dxa"/>
            <w:vAlign w:val="center"/>
          </w:tcPr>
          <w:p w14:paraId="14A22794">
            <w:pPr>
              <w:spacing w:before="80" w:after="80"/>
              <w:jc w:val="center"/>
              <w:rPr>
                <w:lang w:val="sv-SE"/>
              </w:rPr>
            </w:pPr>
            <w:r>
              <w:t>0,9</w:t>
            </w:r>
          </w:p>
        </w:tc>
      </w:tr>
      <w:tr w14:paraId="270B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2BADD9D">
            <w:pPr>
              <w:spacing w:before="80" w:after="80"/>
              <w:jc w:val="center"/>
              <w:rPr>
                <w:lang w:val="sv-SE"/>
              </w:rPr>
            </w:pPr>
            <w:r>
              <w:t>c</w:t>
            </w:r>
          </w:p>
        </w:tc>
        <w:tc>
          <w:tcPr>
            <w:tcW w:w="5245" w:type="dxa"/>
            <w:vAlign w:val="center"/>
          </w:tcPr>
          <w:p w14:paraId="55D485D5">
            <w:pPr>
              <w:spacing w:before="80" w:after="80"/>
              <w:rPr>
                <w:lang w:val="sv-SE"/>
              </w:rPr>
            </w:pPr>
            <w:r>
              <w:rPr>
                <w:lang w:val="sv-SE"/>
              </w:rPr>
              <w:t>Cơ sở giết mổ động vật</w:t>
            </w:r>
            <w:r>
              <w:rPr>
                <w:lang w:val="nl-NL"/>
              </w:rPr>
              <w:t>, khu chăn nuôi tập trung</w:t>
            </w:r>
          </w:p>
        </w:tc>
        <w:tc>
          <w:tcPr>
            <w:tcW w:w="2971" w:type="dxa"/>
            <w:vAlign w:val="center"/>
          </w:tcPr>
          <w:p w14:paraId="551F2641">
            <w:pPr>
              <w:spacing w:before="80" w:after="80"/>
              <w:jc w:val="center"/>
              <w:rPr>
                <w:lang w:val="sv-SE"/>
              </w:rPr>
            </w:pPr>
            <w:r>
              <w:t>0,9</w:t>
            </w:r>
          </w:p>
        </w:tc>
      </w:tr>
      <w:tr w14:paraId="4EB9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65653B">
            <w:pPr>
              <w:spacing w:before="80" w:after="80"/>
              <w:jc w:val="center"/>
              <w:rPr>
                <w:lang w:val="sv-SE"/>
              </w:rPr>
            </w:pPr>
            <w:r>
              <w:t>5</w:t>
            </w:r>
          </w:p>
        </w:tc>
        <w:tc>
          <w:tcPr>
            <w:tcW w:w="5245" w:type="dxa"/>
            <w:vAlign w:val="center"/>
          </w:tcPr>
          <w:p w14:paraId="30E95B28">
            <w:pPr>
              <w:spacing w:before="80" w:after="80"/>
              <w:rPr>
                <w:lang w:val="sv-SE"/>
              </w:rPr>
            </w:pPr>
            <w:r>
              <w:rPr>
                <w:lang w:val="nl-NL"/>
              </w:rPr>
              <w:t>Thửa đất, khu đất ở, thửa đất, khu đất thương mại, dịch vụ tiếp giáp và nằm trên cùng tuyến đường hoặc có mặt tiền đối diện với:</w:t>
            </w:r>
          </w:p>
        </w:tc>
        <w:tc>
          <w:tcPr>
            <w:tcW w:w="2971" w:type="dxa"/>
            <w:vAlign w:val="center"/>
          </w:tcPr>
          <w:p w14:paraId="035AD564">
            <w:pPr>
              <w:spacing w:before="80" w:after="80"/>
              <w:jc w:val="center"/>
              <w:rPr>
                <w:lang w:val="sv-SE"/>
              </w:rPr>
            </w:pPr>
          </w:p>
        </w:tc>
      </w:tr>
      <w:tr w14:paraId="302B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DA14670">
            <w:pPr>
              <w:spacing w:before="80" w:after="80"/>
              <w:jc w:val="center"/>
              <w:rPr>
                <w:lang w:val="sv-SE"/>
              </w:rPr>
            </w:pPr>
            <w:r>
              <w:t>a</w:t>
            </w:r>
          </w:p>
        </w:tc>
        <w:tc>
          <w:tcPr>
            <w:tcW w:w="5245" w:type="dxa"/>
            <w:vAlign w:val="center"/>
          </w:tcPr>
          <w:p w14:paraId="6F180CDA">
            <w:pPr>
              <w:spacing w:before="80" w:after="80"/>
              <w:rPr>
                <w:lang w:val="sv-SE"/>
              </w:rPr>
            </w:pPr>
            <w:r>
              <w:rPr>
                <w:lang w:val="nl-NL"/>
              </w:rPr>
              <w:t>Trung tâm hành chính</w:t>
            </w:r>
          </w:p>
        </w:tc>
        <w:tc>
          <w:tcPr>
            <w:tcW w:w="2971" w:type="dxa"/>
            <w:vAlign w:val="center"/>
          </w:tcPr>
          <w:p w14:paraId="08B2030E">
            <w:pPr>
              <w:spacing w:before="80" w:after="80"/>
              <w:jc w:val="center"/>
              <w:rPr>
                <w:lang w:val="sv-SE"/>
              </w:rPr>
            </w:pPr>
            <w:r>
              <w:t>1,1</w:t>
            </w:r>
          </w:p>
        </w:tc>
      </w:tr>
      <w:tr w14:paraId="3E9A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C529FC5">
            <w:pPr>
              <w:spacing w:before="80" w:after="80"/>
              <w:jc w:val="center"/>
              <w:rPr>
                <w:lang w:val="sv-SE"/>
              </w:rPr>
            </w:pPr>
            <w:r>
              <w:t>b</w:t>
            </w:r>
          </w:p>
        </w:tc>
        <w:tc>
          <w:tcPr>
            <w:tcW w:w="5245" w:type="dxa"/>
            <w:vAlign w:val="center"/>
          </w:tcPr>
          <w:p w14:paraId="28C813DF">
            <w:pPr>
              <w:spacing w:before="80" w:after="80"/>
              <w:rPr>
                <w:lang w:val="sv-SE"/>
              </w:rPr>
            </w:pPr>
            <w:r>
              <w:rPr>
                <w:lang w:val="nl-NL"/>
              </w:rPr>
              <w:t>Chợ, siêu thị, trung tâm thương mại</w:t>
            </w:r>
          </w:p>
        </w:tc>
        <w:tc>
          <w:tcPr>
            <w:tcW w:w="2971" w:type="dxa"/>
            <w:vAlign w:val="center"/>
          </w:tcPr>
          <w:p w14:paraId="1EAF1A8B">
            <w:pPr>
              <w:spacing w:before="80" w:after="80"/>
              <w:jc w:val="center"/>
              <w:rPr>
                <w:lang w:val="sv-SE"/>
              </w:rPr>
            </w:pPr>
            <w:r>
              <w:t>1,1</w:t>
            </w:r>
          </w:p>
        </w:tc>
      </w:tr>
      <w:tr w14:paraId="49EA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78FC74A">
            <w:pPr>
              <w:spacing w:before="80" w:after="80"/>
              <w:jc w:val="center"/>
              <w:rPr>
                <w:lang w:val="sv-SE"/>
              </w:rPr>
            </w:pPr>
            <w:r>
              <w:t>c</w:t>
            </w:r>
          </w:p>
        </w:tc>
        <w:tc>
          <w:tcPr>
            <w:tcW w:w="5245" w:type="dxa"/>
            <w:vAlign w:val="center"/>
          </w:tcPr>
          <w:p w14:paraId="71DD29D0">
            <w:pPr>
              <w:spacing w:before="80" w:after="80"/>
              <w:rPr>
                <w:lang w:val="sv-SE"/>
              </w:rPr>
            </w:pPr>
            <w:r>
              <w:rPr>
                <w:lang w:val="nl-NL"/>
              </w:rPr>
              <w:t>Trung tâm văn hóa, thể thao</w:t>
            </w:r>
          </w:p>
        </w:tc>
        <w:tc>
          <w:tcPr>
            <w:tcW w:w="2971" w:type="dxa"/>
            <w:vAlign w:val="center"/>
          </w:tcPr>
          <w:p w14:paraId="4C99F8CA">
            <w:pPr>
              <w:spacing w:before="80" w:after="80"/>
              <w:jc w:val="center"/>
              <w:rPr>
                <w:lang w:val="sv-SE"/>
              </w:rPr>
            </w:pPr>
            <w:r>
              <w:t>1,1</w:t>
            </w:r>
          </w:p>
        </w:tc>
      </w:tr>
      <w:tr w14:paraId="7133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2A97328">
            <w:pPr>
              <w:spacing w:before="80" w:after="80"/>
              <w:jc w:val="center"/>
              <w:rPr>
                <w:lang w:val="sv-SE"/>
              </w:rPr>
            </w:pPr>
            <w:r>
              <w:t>d</w:t>
            </w:r>
          </w:p>
        </w:tc>
        <w:tc>
          <w:tcPr>
            <w:tcW w:w="5245" w:type="dxa"/>
            <w:vAlign w:val="center"/>
          </w:tcPr>
          <w:p w14:paraId="19B39EC6">
            <w:pPr>
              <w:spacing w:before="80" w:after="80"/>
              <w:rPr>
                <w:lang w:val="sv-SE"/>
              </w:rPr>
            </w:pPr>
            <w:r>
              <w:rPr>
                <w:lang w:val="sv-SE"/>
              </w:rPr>
              <w:t>Cơ sở giáo dục và đào tạo</w:t>
            </w:r>
          </w:p>
        </w:tc>
        <w:tc>
          <w:tcPr>
            <w:tcW w:w="2971" w:type="dxa"/>
            <w:vAlign w:val="center"/>
          </w:tcPr>
          <w:p w14:paraId="1ADED239">
            <w:pPr>
              <w:spacing w:before="80" w:after="80"/>
              <w:jc w:val="center"/>
              <w:rPr>
                <w:lang w:val="sv-SE"/>
              </w:rPr>
            </w:pPr>
            <w:r>
              <w:t>1,1</w:t>
            </w:r>
          </w:p>
        </w:tc>
      </w:tr>
      <w:tr w14:paraId="1D8D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394ACCC">
            <w:pPr>
              <w:spacing w:before="80" w:after="80"/>
              <w:jc w:val="center"/>
              <w:rPr>
                <w:lang w:val="sv-SE"/>
              </w:rPr>
            </w:pPr>
            <w:r>
              <w:t>đ</w:t>
            </w:r>
          </w:p>
        </w:tc>
        <w:tc>
          <w:tcPr>
            <w:tcW w:w="5245" w:type="dxa"/>
            <w:vAlign w:val="center"/>
          </w:tcPr>
          <w:p w14:paraId="79B5C75A">
            <w:pPr>
              <w:spacing w:before="80" w:after="80"/>
              <w:rPr>
                <w:lang w:val="sv-SE"/>
              </w:rPr>
            </w:pPr>
            <w:r>
              <w:t>Bệnh viện</w:t>
            </w:r>
          </w:p>
        </w:tc>
        <w:tc>
          <w:tcPr>
            <w:tcW w:w="2971" w:type="dxa"/>
            <w:vAlign w:val="center"/>
          </w:tcPr>
          <w:p w14:paraId="4DADBF35">
            <w:pPr>
              <w:spacing w:before="80" w:after="80"/>
              <w:jc w:val="center"/>
              <w:rPr>
                <w:lang w:val="sv-SE"/>
              </w:rPr>
            </w:pPr>
            <w:r>
              <w:t>1,1</w:t>
            </w:r>
          </w:p>
        </w:tc>
      </w:tr>
      <w:tr w14:paraId="5AAA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C21327C">
            <w:pPr>
              <w:spacing w:before="80" w:after="80"/>
              <w:jc w:val="center"/>
              <w:rPr>
                <w:lang w:val="sv-SE"/>
              </w:rPr>
            </w:pPr>
            <w:r>
              <w:t>e</w:t>
            </w:r>
          </w:p>
        </w:tc>
        <w:tc>
          <w:tcPr>
            <w:tcW w:w="5245" w:type="dxa"/>
            <w:vAlign w:val="center"/>
          </w:tcPr>
          <w:p w14:paraId="609A8B52">
            <w:pPr>
              <w:spacing w:before="80" w:after="80"/>
              <w:rPr>
                <w:lang w:val="sv-SE"/>
              </w:rPr>
            </w:pPr>
            <w:r>
              <w:rPr>
                <w:lang w:val="nl-NL"/>
              </w:rPr>
              <w:t>Công viên, khu vui chơi giải trí</w:t>
            </w:r>
          </w:p>
        </w:tc>
        <w:tc>
          <w:tcPr>
            <w:tcW w:w="2971" w:type="dxa"/>
            <w:vAlign w:val="center"/>
          </w:tcPr>
          <w:p w14:paraId="23DFC58C">
            <w:pPr>
              <w:spacing w:before="80" w:after="80"/>
              <w:jc w:val="center"/>
              <w:rPr>
                <w:lang w:val="sv-SE"/>
              </w:rPr>
            </w:pPr>
            <w:r>
              <w:t>1,1</w:t>
            </w:r>
          </w:p>
        </w:tc>
      </w:tr>
      <w:tr w14:paraId="1AE4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9E5BAFB">
            <w:pPr>
              <w:spacing w:before="80" w:after="80"/>
              <w:jc w:val="center"/>
              <w:rPr>
                <w:lang w:val="sv-SE"/>
              </w:rPr>
            </w:pPr>
            <w:r>
              <w:t>g</w:t>
            </w:r>
          </w:p>
        </w:tc>
        <w:tc>
          <w:tcPr>
            <w:tcW w:w="5245" w:type="dxa"/>
            <w:vAlign w:val="center"/>
          </w:tcPr>
          <w:p w14:paraId="0D42FAF1">
            <w:pPr>
              <w:spacing w:before="80" w:after="80"/>
              <w:rPr>
                <w:lang w:val="sv-SE"/>
              </w:rPr>
            </w:pPr>
            <w:r>
              <w:rPr>
                <w:lang w:val="nl-NL"/>
              </w:rPr>
              <w:t>Khu di tích lịch sử - văn hóa, danh lam thắng cảnh</w:t>
            </w:r>
          </w:p>
        </w:tc>
        <w:tc>
          <w:tcPr>
            <w:tcW w:w="2971" w:type="dxa"/>
            <w:vAlign w:val="center"/>
          </w:tcPr>
          <w:p w14:paraId="5DA1952A">
            <w:pPr>
              <w:spacing w:before="80" w:after="80"/>
              <w:jc w:val="center"/>
              <w:rPr>
                <w:lang w:val="sv-SE"/>
              </w:rPr>
            </w:pPr>
            <w:r>
              <w:t>1,1</w:t>
            </w:r>
          </w:p>
        </w:tc>
      </w:tr>
      <w:tr w14:paraId="179B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FE4B319">
            <w:pPr>
              <w:spacing w:before="80" w:after="80"/>
              <w:jc w:val="center"/>
              <w:rPr>
                <w:lang w:val="sv-SE"/>
              </w:rPr>
            </w:pPr>
            <w:r>
              <w:t>6</w:t>
            </w:r>
          </w:p>
        </w:tc>
        <w:tc>
          <w:tcPr>
            <w:tcW w:w="5245" w:type="dxa"/>
            <w:vAlign w:val="center"/>
          </w:tcPr>
          <w:p w14:paraId="53B7889E">
            <w:pPr>
              <w:spacing w:before="80" w:after="80"/>
              <w:rPr>
                <w:lang w:val="sv-SE"/>
              </w:rPr>
            </w:pPr>
            <w:r>
              <w:rPr>
                <w:lang w:val="sv-SE"/>
              </w:rPr>
              <w:t>Đối với các trường hợp không thuộc các Mục 1, 2, 3, 4 và 5 nêu trên</w:t>
            </w:r>
          </w:p>
        </w:tc>
        <w:tc>
          <w:tcPr>
            <w:tcW w:w="2971" w:type="dxa"/>
            <w:vAlign w:val="center"/>
          </w:tcPr>
          <w:p w14:paraId="4300FAA0">
            <w:pPr>
              <w:spacing w:before="80" w:after="80"/>
              <w:jc w:val="center"/>
              <w:rPr>
                <w:lang w:val="sv-SE"/>
              </w:rPr>
            </w:pPr>
            <w:r>
              <w:t>1,0</w:t>
            </w:r>
          </w:p>
        </w:tc>
      </w:tr>
    </w:tbl>
    <w:p w14:paraId="3E8DED6D">
      <w:pPr>
        <w:spacing w:before="120"/>
        <w:ind w:firstLine="720"/>
        <w:rPr>
          <w:lang w:val="nl-NL"/>
        </w:rPr>
      </w:pPr>
      <w:r>
        <w:t xml:space="preserve">Trường hợp thửa đất, khu đất đồng thời chịu tác động của nhiều yếu tố ảnh hưởng quy định tại khoản này thì </w:t>
      </w:r>
      <w:r>
        <w:rPr>
          <w:lang w:val="nl-NL"/>
        </w:rPr>
        <w:t>K</w:t>
      </w:r>
      <w:r>
        <w:rPr>
          <w:vertAlign w:val="subscript"/>
        </w:rPr>
        <w:t>kh</w:t>
      </w:r>
      <w:r>
        <w:t xml:space="preserve"> được xác định bằng tích của các hệ số điều chỉnh tương ứng với từng yếu tố ảnh hưởng.</w:t>
      </w:r>
    </w:p>
    <w:p w14:paraId="65DA4EBB">
      <w:pPr>
        <w:ind w:firstLine="720"/>
        <w:rPr>
          <w:lang w:val="nl-NL"/>
        </w:rPr>
      </w:pPr>
      <w:r>
        <w:rPr>
          <w:lang w:val="nl-NL"/>
        </w:rPr>
        <w:t>Trường hợp tất cả các thửa đất, khu đất cùng một tuyến đường hoặc cùng một đoạn đường tại bảng giá đất đều bị ảnh hưởng bởi cùng một yếu tố quy định tại khoản này thì không áp dụng hệ số điều chỉnh đối với yếu tố đó.</w:t>
      </w:r>
    </w:p>
    <w:p w14:paraId="030B3780">
      <w:pPr>
        <w:ind w:firstLine="720"/>
        <w:rPr>
          <w:spacing w:val="-2"/>
          <w:lang w:val="nl-NL"/>
        </w:rPr>
      </w:pPr>
      <w:r>
        <w:rPr>
          <w:spacing w:val="-2"/>
          <w:lang w:val="nl-NL"/>
        </w:rPr>
        <w:t>4. Giá đất của thửa đất, khu đất xác định theo khu vực, vị trí nào tại bảng giá đất thì hệ số điều chỉnh giá đất được xác định tương ứng với khu vực, vị trí đó.</w:t>
      </w:r>
    </w:p>
    <w:p w14:paraId="30D423A0">
      <w:pPr>
        <w:ind w:firstLine="720"/>
        <w:rPr>
          <w:lang w:val="sv-SE"/>
        </w:rPr>
      </w:pPr>
      <w:r>
        <w:rPr>
          <w:b/>
          <w:bCs/>
          <w:lang w:val="sv-SE"/>
        </w:rPr>
        <w:t>Điều 5. Hiệu lực thi hành</w:t>
      </w:r>
    </w:p>
    <w:p w14:paraId="556782F2">
      <w:pPr>
        <w:ind w:firstLine="720"/>
        <w:rPr>
          <w:lang w:val="sv-SE"/>
        </w:rPr>
      </w:pPr>
      <w:r>
        <w:rPr>
          <w:lang w:val="sv-SE"/>
        </w:rPr>
        <w:t>Quyết định này có hiệu lực thi hành từ ngày 01 tháng 01 năm 2027.</w:t>
      </w:r>
    </w:p>
    <w:p w14:paraId="4D6F5E99">
      <w:pPr>
        <w:ind w:firstLine="720"/>
        <w:rPr>
          <w:b/>
          <w:bCs/>
          <w:lang w:val="sv-SE"/>
        </w:rPr>
      </w:pPr>
      <w:r>
        <w:rPr>
          <w:b/>
          <w:bCs/>
          <w:lang w:val="sv-SE"/>
        </w:rPr>
        <w:t>Điều 6. Tổ chức thực hiện</w:t>
      </w:r>
      <w:bookmarkEnd w:id="0"/>
    </w:p>
    <w:p w14:paraId="448CF9DC">
      <w:pPr>
        <w:ind w:firstLine="720"/>
        <w:rPr>
          <w:b/>
          <w:bCs/>
          <w:lang w:val="sv-SE"/>
        </w:rPr>
      </w:pPr>
      <w:r>
        <w:rPr>
          <w:lang w:val="sv-SE"/>
        </w:rPr>
        <w:t>1. Trách nhiệm của Sở Nông nghiệp và Môi trường:</w:t>
      </w:r>
    </w:p>
    <w:p w14:paraId="6F5A4470">
      <w:pPr>
        <w:ind w:firstLine="720"/>
        <w:rPr>
          <w:lang w:val="sv-SE"/>
        </w:rPr>
      </w:pPr>
      <w:r>
        <w:rPr>
          <w:lang w:val="sv-SE"/>
        </w:rPr>
        <w:t xml:space="preserve">a) Chủ trì, phối hợp với các cơ quan, đơn vị, địa phương tổ chức, triển khai thực hiện Quyết định này và xử lý các nội dung phát sinh; </w:t>
      </w:r>
      <w:r>
        <w:rPr>
          <w:rFonts w:eastAsia="Times New Roman"/>
          <w:lang w:val="sv-SE"/>
        </w:rPr>
        <w:t>đối với các nội dung vượt thẩm quyền, kịp thời tổng hợp, báo cáo, tham mưu đề xuất với Ủy ban nhân dân tỉnh;</w:t>
      </w:r>
      <w:r>
        <w:rPr>
          <w:lang w:val="sv-SE"/>
        </w:rPr>
        <w:t xml:space="preserve"> </w:t>
      </w:r>
    </w:p>
    <w:p w14:paraId="75005C85">
      <w:pPr>
        <w:ind w:firstLine="720"/>
        <w:rPr>
          <w:lang w:val="sv-SE"/>
        </w:rPr>
      </w:pPr>
      <w:r>
        <w:rPr>
          <w:lang w:val="sv-SE"/>
        </w:rPr>
        <w:t>b) Theo dõi, tổng hợp việc thực hiện Quyết định này; trong quá trình thực hiện, trên cơ sở kết quả theo dõi, tổng hợp hoặc theo báo cáo, đề xuất của các cơ quan, đơn vị, địa phương, Sở Nông nghiệp và Môi trường chủ trì, phối hợp với các cơ quan, đơn vị, địa phương có liên quan rà soát, tham mưu đề xuất Ủy ban nhân dân tỉnh xem xét điều chỉnh, sửa đổi, bổ sung hệ số điều chỉnh giá đất cho phù hợp với tình hình thực tế và quy định pháp luật.</w:t>
      </w:r>
    </w:p>
    <w:p w14:paraId="08A14B88">
      <w:pPr>
        <w:ind w:firstLine="720"/>
        <w:rPr>
          <w:lang w:val="sv-SE"/>
        </w:rPr>
      </w:pPr>
      <w:r>
        <w:rPr>
          <w:lang w:val="sv-SE"/>
        </w:rPr>
        <w:t>2. Các cơ quan, đơn vị, địa phương theo chức năng nhiệm vụ tổ chức thực hiện Quyết định này. Quá trình thực hiện, trường hợp phát sinh khó khăn, vướng mắc, kịp thời báo cáo về Sở Nông nghiệp và Môi trường để được hướng dẫn xử lý hoặc tổng hợp, báo cáo, tham mưu đề xuất với Ủy ban nhân dân tỉnh.</w:t>
      </w:r>
    </w:p>
    <w:p w14:paraId="2EDB4426">
      <w:pPr>
        <w:ind w:firstLine="720"/>
        <w:rPr>
          <w:lang w:val="sv-SE"/>
        </w:rPr>
      </w:pPr>
      <w:r>
        <w:rPr>
          <w:lang w:val="sv-SE"/>
        </w:rPr>
        <w:t>3. Các tổ chức, cá nhân, người sử dụng đất có trách nhiệm thực hiện nghĩa vụ tài chính theo thông báo của cơ quan nhà nước có thẩm quyền theo quy định.</w:t>
      </w:r>
    </w:p>
    <w:p w14:paraId="16D26648">
      <w:pPr>
        <w:ind w:firstLine="720"/>
        <w:rPr>
          <w:lang w:val="sv-SE"/>
        </w:rPr>
      </w:pPr>
      <w:bookmarkStart w:id="3" w:name="dieu_5"/>
      <w:r>
        <w:rPr>
          <w:lang w:val="sv-SE"/>
        </w:rPr>
        <w:t>4. Đối với xã, phường có thay đổi địa giới hành chính hoặc thay đổi tên thôn, tổ dân phố thì vị trí và hệ số điều chỉnh giá đất tiếp tục được áp dụng theo quy định tại Quyết định này cho đến khi Ủy ban nhân dân tỉnh ban hành văn bản sửa đổi, bổ sung, thay thế hoặc bãi bỏ.</w:t>
      </w:r>
    </w:p>
    <w:p w14:paraId="78D6F826">
      <w:pPr>
        <w:ind w:firstLine="720"/>
        <w:rPr>
          <w:lang w:val="sv-SE"/>
        </w:rPr>
      </w:pPr>
      <w:r>
        <w:rPr>
          <w:lang w:val="sv-SE"/>
        </w:rPr>
        <w:t>5. Trường hợp các văn bản quy phạm pháp luật dẫn chiếu tại Quyết định này được sửa đổi, bổ sung, thay thế thì thực hiện theo quy định tương ứng tại văn bản sửa đổi, bổ sung, thay thế đó.</w:t>
      </w:r>
    </w:p>
    <w:bookmarkEnd w:id="3"/>
    <w:p w14:paraId="51BBB2E1">
      <w:pPr>
        <w:ind w:firstLine="720"/>
        <w:rPr>
          <w:lang w:val="sv-SE"/>
        </w:rPr>
      </w:pPr>
      <w:r>
        <w:rPr>
          <w:lang w:val="sv-SE"/>
        </w:rPr>
        <w:t xml:space="preserve">6. </w:t>
      </w:r>
      <w:r>
        <w:rPr>
          <w:lang w:val="pt-BR"/>
        </w:rPr>
        <w:t>Chánh Văn phòng Ủy ban nhân dân tỉnh; Giám đốc (Thủ trưởng) các sở, ban, ngành, đoàn thể, đơn vị cấp tỉnh; Chủ tịch UBND các xã, phường; Thủ trưởng các cơ quan, đơn vị và các tổ chức, hộ gia đình, cá nhân có liên quan chịu trách nhiệm thi hành Quyết định này</w:t>
      </w:r>
      <w:r>
        <w:rPr>
          <w:lang w:val="sv-SE"/>
        </w:rPr>
        <w:t>./</w:t>
      </w:r>
      <w:bookmarkEnd w:id="1"/>
      <w:r>
        <w:rPr>
          <w:lang w:val="sv-SE"/>
        </w:rPr>
        <w:t>.</w:t>
      </w:r>
    </w:p>
    <w:p w14:paraId="26CA006D">
      <w:pPr>
        <w:ind w:firstLine="720"/>
        <w:rPr>
          <w:color w:val="EE0000"/>
          <w:lang w:val="sv-SE"/>
        </w:rPr>
      </w:pPr>
    </w:p>
    <w:tbl>
      <w:tblPr>
        <w:tblStyle w:val="12"/>
        <w:tblW w:w="9067" w:type="dxa"/>
        <w:tblInd w:w="0" w:type="dxa"/>
        <w:tblLayout w:type="fixed"/>
        <w:tblCellMar>
          <w:top w:w="0" w:type="dxa"/>
          <w:left w:w="108" w:type="dxa"/>
          <w:bottom w:w="0" w:type="dxa"/>
          <w:right w:w="108" w:type="dxa"/>
        </w:tblCellMar>
      </w:tblPr>
      <w:tblGrid>
        <w:gridCol w:w="4673"/>
        <w:gridCol w:w="4394"/>
      </w:tblGrid>
      <w:tr w14:paraId="415AFB3C">
        <w:tblPrEx>
          <w:tblCellMar>
            <w:top w:w="0" w:type="dxa"/>
            <w:left w:w="108" w:type="dxa"/>
            <w:bottom w:w="0" w:type="dxa"/>
            <w:right w:w="108" w:type="dxa"/>
          </w:tblCellMar>
        </w:tblPrEx>
        <w:trPr>
          <w:trHeight w:val="20" w:hRule="atLeast"/>
        </w:trPr>
        <w:tc>
          <w:tcPr>
            <w:tcW w:w="4673" w:type="dxa"/>
          </w:tcPr>
          <w:p w14:paraId="28CA38E2">
            <w:pPr>
              <w:spacing w:after="0"/>
              <w:jc w:val="left"/>
              <w:rPr>
                <w:b/>
                <w:bCs/>
                <w:i/>
                <w:iCs/>
                <w:sz w:val="24"/>
                <w:szCs w:val="24"/>
                <w:lang w:val="sv-SE"/>
              </w:rPr>
            </w:pPr>
            <w:r>
              <w:rPr>
                <w:b/>
                <w:bCs/>
                <w:i/>
                <w:iCs/>
                <w:sz w:val="24"/>
                <w:szCs w:val="24"/>
                <w:lang w:val="vi-VN"/>
              </w:rPr>
              <w:t>Nơi nhận</w:t>
            </w:r>
            <w:r>
              <w:rPr>
                <w:b/>
                <w:bCs/>
                <w:i/>
                <w:iCs/>
                <w:sz w:val="24"/>
                <w:szCs w:val="24"/>
                <w:lang w:val="sv-SE"/>
              </w:rPr>
              <w:t>:</w:t>
            </w:r>
          </w:p>
          <w:p w14:paraId="70F4F317">
            <w:pPr>
              <w:spacing w:after="0"/>
              <w:jc w:val="left"/>
              <w:rPr>
                <w:bCs/>
                <w:iCs/>
                <w:sz w:val="22"/>
                <w:szCs w:val="22"/>
                <w:lang w:val="sv-SE"/>
              </w:rPr>
            </w:pPr>
            <w:r>
              <w:rPr>
                <w:bCs/>
                <w:iCs/>
                <w:sz w:val="22"/>
                <w:szCs w:val="22"/>
                <w:lang w:val="sv-SE"/>
              </w:rPr>
              <w:t>- Như Điều 6;</w:t>
            </w:r>
          </w:p>
          <w:p w14:paraId="2729C954">
            <w:pPr>
              <w:spacing w:after="0"/>
              <w:jc w:val="left"/>
              <w:rPr>
                <w:bCs/>
                <w:iCs/>
                <w:sz w:val="22"/>
                <w:szCs w:val="22"/>
                <w:lang w:val="sv-SE"/>
              </w:rPr>
            </w:pPr>
            <w:r>
              <w:rPr>
                <w:bCs/>
                <w:iCs/>
                <w:sz w:val="22"/>
                <w:szCs w:val="22"/>
                <w:lang w:val="sv-SE"/>
              </w:rPr>
              <w:t>- Văn phòng Chính phủ;</w:t>
            </w:r>
          </w:p>
          <w:p w14:paraId="530B2B89">
            <w:pPr>
              <w:spacing w:after="0"/>
              <w:jc w:val="left"/>
              <w:rPr>
                <w:sz w:val="22"/>
                <w:szCs w:val="22"/>
                <w:lang w:val="pt-BR"/>
              </w:rPr>
            </w:pPr>
            <w:r>
              <w:rPr>
                <w:sz w:val="22"/>
                <w:szCs w:val="22"/>
                <w:lang w:val="pt-BR"/>
              </w:rPr>
              <w:t>- Bộ Nông nghiệp và Môi trường;</w:t>
            </w:r>
            <w:r>
              <w:rPr>
                <w:sz w:val="22"/>
                <w:szCs w:val="22"/>
                <w:lang w:val="pt-BR"/>
              </w:rPr>
              <w:br w:type="textWrapping"/>
            </w:r>
            <w:r>
              <w:rPr>
                <w:sz w:val="22"/>
                <w:szCs w:val="22"/>
                <w:lang w:val="pt-BR"/>
              </w:rPr>
              <w:t>- Cục Kiểm tra văn bản và Tổ chức</w:t>
            </w:r>
          </w:p>
          <w:p w14:paraId="41C9446D">
            <w:pPr>
              <w:spacing w:after="0"/>
              <w:jc w:val="left"/>
              <w:rPr>
                <w:sz w:val="22"/>
                <w:szCs w:val="22"/>
                <w:lang w:val="pt-BR"/>
              </w:rPr>
            </w:pPr>
            <w:r>
              <w:rPr>
                <w:sz w:val="22"/>
                <w:szCs w:val="22"/>
                <w:lang w:val="pt-BR"/>
              </w:rPr>
              <w:t xml:space="preserve"> thi hành pháp luật - Bộ Tư pháp;</w:t>
            </w:r>
            <w:r>
              <w:rPr>
                <w:sz w:val="22"/>
                <w:szCs w:val="22"/>
                <w:lang w:val="pt-BR"/>
              </w:rPr>
              <w:br w:type="textWrapping"/>
            </w:r>
            <w:r>
              <w:rPr>
                <w:sz w:val="22"/>
                <w:szCs w:val="22"/>
                <w:lang w:val="pt-BR"/>
              </w:rPr>
              <w:t>- TTr Tỉnh ủy, TTr HĐND tỉnh;</w:t>
            </w:r>
          </w:p>
          <w:p w14:paraId="6B678196">
            <w:pPr>
              <w:spacing w:after="0"/>
              <w:jc w:val="left"/>
              <w:rPr>
                <w:sz w:val="22"/>
                <w:szCs w:val="22"/>
                <w:lang w:val="pt-BR"/>
              </w:rPr>
            </w:pPr>
            <w:r>
              <w:rPr>
                <w:sz w:val="22"/>
                <w:szCs w:val="22"/>
                <w:lang w:val="pt-BR"/>
              </w:rPr>
              <w:t>- Chủ tịch, các PCT UBND tỉnh;</w:t>
            </w:r>
            <w:r>
              <w:rPr>
                <w:sz w:val="22"/>
                <w:szCs w:val="22"/>
                <w:lang w:val="pt-BR"/>
              </w:rPr>
              <w:br w:type="textWrapping"/>
            </w:r>
            <w:r>
              <w:rPr>
                <w:sz w:val="22"/>
                <w:szCs w:val="22"/>
                <w:lang w:val="pt-BR"/>
              </w:rPr>
              <w:t>- Ủy ban MTTQ tỉnh, Đoàn ĐBQH tỉnh;</w:t>
            </w:r>
          </w:p>
          <w:p w14:paraId="747E4156">
            <w:pPr>
              <w:spacing w:after="0"/>
              <w:jc w:val="left"/>
              <w:rPr>
                <w:sz w:val="22"/>
                <w:szCs w:val="22"/>
                <w:lang w:val="pt-BR"/>
              </w:rPr>
            </w:pPr>
            <w:r>
              <w:rPr>
                <w:sz w:val="22"/>
                <w:szCs w:val="22"/>
                <w:lang w:val="pt-BR"/>
              </w:rPr>
              <w:t>- Văn phòng Tỉnh ủy;</w:t>
            </w:r>
          </w:p>
          <w:p w14:paraId="08EBFBB0">
            <w:pPr>
              <w:spacing w:after="0"/>
              <w:jc w:val="left"/>
              <w:rPr>
                <w:sz w:val="22"/>
                <w:szCs w:val="22"/>
                <w:lang w:val="pt-BR"/>
              </w:rPr>
            </w:pPr>
            <w:r>
              <w:rPr>
                <w:sz w:val="22"/>
                <w:szCs w:val="22"/>
                <w:lang w:val="pt-BR"/>
              </w:rPr>
              <w:t>- Văn phòng Đoàn ĐBQH và HĐND tỉnh;</w:t>
            </w:r>
          </w:p>
          <w:p w14:paraId="3ED91625">
            <w:pPr>
              <w:spacing w:after="0"/>
              <w:jc w:val="left"/>
              <w:rPr>
                <w:sz w:val="22"/>
                <w:szCs w:val="22"/>
                <w:lang w:val="pt-BR"/>
              </w:rPr>
            </w:pPr>
            <w:r>
              <w:rPr>
                <w:sz w:val="22"/>
                <w:szCs w:val="22"/>
                <w:lang w:val="pt-BR"/>
              </w:rPr>
              <w:t>- Các Ban HĐND tỉnh;</w:t>
            </w:r>
          </w:p>
          <w:p w14:paraId="07CFA0CE">
            <w:pPr>
              <w:spacing w:after="0"/>
              <w:jc w:val="left"/>
              <w:rPr>
                <w:sz w:val="22"/>
                <w:szCs w:val="22"/>
                <w:lang w:val="pt-BR"/>
              </w:rPr>
            </w:pPr>
            <w:r>
              <w:rPr>
                <w:sz w:val="22"/>
                <w:szCs w:val="22"/>
                <w:lang w:val="pt-BR"/>
              </w:rPr>
              <w:t>- Các Phó CVP UBND tỉnh;</w:t>
            </w:r>
          </w:p>
          <w:p w14:paraId="5C2A737B">
            <w:pPr>
              <w:spacing w:after="0"/>
              <w:jc w:val="left"/>
              <w:rPr>
                <w:sz w:val="22"/>
                <w:szCs w:val="22"/>
                <w:lang w:val="pt-BR"/>
              </w:rPr>
            </w:pPr>
            <w:r>
              <w:rPr>
                <w:sz w:val="22"/>
                <w:szCs w:val="22"/>
                <w:lang w:val="pt-BR"/>
              </w:rPr>
              <w:t>- Đảng ủy, HĐND các xã, phường;</w:t>
            </w:r>
          </w:p>
          <w:p w14:paraId="1E46BF25">
            <w:pPr>
              <w:spacing w:after="0"/>
              <w:jc w:val="left"/>
              <w:rPr>
                <w:sz w:val="22"/>
                <w:szCs w:val="22"/>
                <w:lang w:val="pt-BR"/>
              </w:rPr>
            </w:pPr>
            <w:r>
              <w:rPr>
                <w:sz w:val="22"/>
                <w:szCs w:val="22"/>
                <w:lang w:val="pt-BR"/>
              </w:rPr>
              <w:t>- Cổng Thông tin điện tử tỉnh;</w:t>
            </w:r>
          </w:p>
          <w:p w14:paraId="34ECBE44">
            <w:pPr>
              <w:spacing w:after="0"/>
              <w:jc w:val="left"/>
              <w:rPr>
                <w:b/>
                <w:bCs/>
                <w:i/>
                <w:iCs/>
                <w:sz w:val="22"/>
                <w:szCs w:val="22"/>
                <w:u w:val="single"/>
                <w:lang w:val="sv-SE"/>
              </w:rPr>
            </w:pPr>
            <w:r>
              <w:rPr>
                <w:sz w:val="22"/>
                <w:szCs w:val="22"/>
                <w:lang w:val="pt-BR"/>
              </w:rPr>
              <w:t>- Báo và Phát thanh, truyền hình Hà Tĩnh;</w:t>
            </w:r>
            <w:r>
              <w:rPr>
                <w:sz w:val="22"/>
                <w:szCs w:val="22"/>
                <w:lang w:val="pt-BR"/>
              </w:rPr>
              <w:br w:type="textWrapping"/>
            </w:r>
            <w:r>
              <w:rPr>
                <w:sz w:val="22"/>
                <w:szCs w:val="22"/>
                <w:lang w:val="pt-BR"/>
              </w:rPr>
              <w:t>- Trung tâm TT&amp;XTHTĐT tỉnh;</w:t>
            </w:r>
            <w:r>
              <w:rPr>
                <w:sz w:val="22"/>
                <w:szCs w:val="22"/>
                <w:lang w:val="pt-BR"/>
              </w:rPr>
              <w:br w:type="textWrapping"/>
            </w:r>
            <w:r>
              <w:rPr>
                <w:sz w:val="22"/>
                <w:szCs w:val="22"/>
                <w:lang w:val="pt-BR"/>
              </w:rPr>
              <w:t>- Lưu: VT, NL, NL</w:t>
            </w:r>
            <w:r>
              <w:rPr>
                <w:sz w:val="22"/>
                <w:szCs w:val="22"/>
                <w:vertAlign w:val="subscript"/>
                <w:lang w:val="pt-BR"/>
              </w:rPr>
              <w:t>2</w:t>
            </w:r>
            <w:r>
              <w:rPr>
                <w:sz w:val="22"/>
                <w:szCs w:val="22"/>
                <w:lang w:val="pt-BR"/>
              </w:rPr>
              <w:t>, TH</w:t>
            </w:r>
            <w:r>
              <w:rPr>
                <w:sz w:val="22"/>
                <w:szCs w:val="22"/>
                <w:vertAlign w:val="subscript"/>
                <w:lang w:val="pt-BR"/>
              </w:rPr>
              <w:t>5</w:t>
            </w:r>
            <w:r>
              <w:rPr>
                <w:sz w:val="22"/>
                <w:szCs w:val="22"/>
                <w:lang w:val="pt-BR"/>
              </w:rPr>
              <w:t>.</w:t>
            </w:r>
          </w:p>
        </w:tc>
        <w:tc>
          <w:tcPr>
            <w:tcW w:w="4394" w:type="dxa"/>
          </w:tcPr>
          <w:p w14:paraId="794C151C">
            <w:pPr>
              <w:spacing w:after="0"/>
              <w:jc w:val="center"/>
              <w:rPr>
                <w:b/>
                <w:bCs/>
                <w:lang w:val="sv-SE"/>
              </w:rPr>
            </w:pPr>
            <w:r>
              <w:rPr>
                <w:b/>
                <w:bCs/>
                <w:lang w:val="sv-SE"/>
              </w:rPr>
              <w:t>TM. ỦY BAN NHÂN DÂN</w:t>
            </w:r>
          </w:p>
          <w:p w14:paraId="76D2DCAA">
            <w:pPr>
              <w:spacing w:after="0"/>
              <w:jc w:val="center"/>
              <w:rPr>
                <w:b/>
                <w:bCs/>
                <w:lang w:val="vi-VN"/>
              </w:rPr>
            </w:pPr>
            <w:r>
              <w:rPr>
                <w:b/>
                <w:bCs/>
                <w:lang w:val="sv-SE"/>
              </w:rPr>
              <w:t>KT. CHỦ TỊCH</w:t>
            </w:r>
          </w:p>
          <w:p w14:paraId="12684B97">
            <w:pPr>
              <w:spacing w:after="0"/>
              <w:jc w:val="center"/>
              <w:rPr>
                <w:b/>
                <w:bCs/>
                <w:lang w:val="sv-SE"/>
              </w:rPr>
            </w:pPr>
            <w:r>
              <w:rPr>
                <w:b/>
                <w:bCs/>
                <w:lang w:val="sv-SE"/>
              </w:rPr>
              <w:t>PHÓ CHỦ TỊCH</w:t>
            </w:r>
          </w:p>
          <w:p w14:paraId="46288DA3">
            <w:pPr>
              <w:spacing w:after="0"/>
              <w:jc w:val="center"/>
              <w:rPr>
                <w:b/>
                <w:bCs/>
                <w:lang w:val="sv-SE"/>
              </w:rPr>
            </w:pPr>
          </w:p>
          <w:p w14:paraId="1CCE7F62">
            <w:pPr>
              <w:spacing w:after="0"/>
              <w:jc w:val="center"/>
              <w:rPr>
                <w:b/>
                <w:bCs/>
                <w:lang w:val="sv-SE"/>
              </w:rPr>
            </w:pPr>
          </w:p>
          <w:p w14:paraId="38F98BEC">
            <w:pPr>
              <w:spacing w:after="0"/>
              <w:jc w:val="center"/>
              <w:rPr>
                <w:b/>
                <w:bCs/>
                <w:lang w:val="sv-SE"/>
              </w:rPr>
            </w:pPr>
          </w:p>
          <w:p w14:paraId="5879B4D9">
            <w:pPr>
              <w:spacing w:after="0"/>
              <w:jc w:val="center"/>
              <w:rPr>
                <w:b/>
                <w:bCs/>
                <w:lang w:val="sv-SE"/>
              </w:rPr>
            </w:pPr>
          </w:p>
          <w:p w14:paraId="501BDA0C">
            <w:pPr>
              <w:spacing w:after="0"/>
              <w:jc w:val="center"/>
              <w:rPr>
                <w:b/>
                <w:bCs/>
                <w:lang w:val="sv-SE"/>
              </w:rPr>
            </w:pPr>
          </w:p>
          <w:p w14:paraId="4A75AC77">
            <w:pPr>
              <w:spacing w:after="0"/>
              <w:jc w:val="center"/>
              <w:rPr>
                <w:b/>
                <w:bCs/>
                <w:lang w:val="sv-SE"/>
              </w:rPr>
            </w:pPr>
          </w:p>
          <w:p w14:paraId="238F090D">
            <w:pPr>
              <w:spacing w:after="0"/>
              <w:jc w:val="center"/>
              <w:rPr>
                <w:b/>
                <w:lang w:val="sv-SE"/>
              </w:rPr>
            </w:pPr>
            <w:r>
              <w:rPr>
                <w:b/>
                <w:bCs/>
                <w:lang w:val="sv-SE"/>
              </w:rPr>
              <w:t>Hồ Huy Thành</w:t>
            </w:r>
          </w:p>
        </w:tc>
      </w:tr>
    </w:tbl>
    <w:p w14:paraId="1A4B7A3D">
      <w:pPr>
        <w:rPr>
          <w:color w:val="EE0000"/>
          <w:lang w:val="vi-VN"/>
        </w:rPr>
      </w:pPr>
    </w:p>
    <w:sectPr>
      <w:headerReference r:id="rId5" w:type="default"/>
      <w:endnotePr>
        <w:numFmt w:val="decimal"/>
      </w:endnotePr>
      <w:pgSz w:w="11907" w:h="16840"/>
      <w:pgMar w:top="1134" w:right="1134" w:bottom="1134" w:left="1701" w:header="567" w:footer="567"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Aptos">
    <w:altName w:val="Segoe UI"/>
    <w:panose1 w:val="00000000000000000000"/>
    <w:charset w:val="86"/>
    <w:family w:val="swiss"/>
    <w:pitch w:val="default"/>
    <w:sig w:usb0="00000000" w:usb1="00000000" w:usb2="00000000" w:usb3="00000000" w:csb0="0000019F" w:csb1="00000000"/>
  </w:font>
  <w:font w:name="Aptos Display">
    <w:altName w:val="Arial"/>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DBE0">
    <w:pPr>
      <w:pStyle w:val="14"/>
      <w:jc w:val="center"/>
    </w:pPr>
    <w:r>
      <w:fldChar w:fldCharType="begin"/>
    </w:r>
    <w:r>
      <w:instrText xml:space="preserve"> PAGE   \* MERGEFORMAT </w:instrText>
    </w:r>
    <w:r>
      <w:fldChar w:fldCharType="separate"/>
    </w:r>
    <w:r>
      <w:t>7</w:t>
    </w:r>
    <w:r>
      <w:fldChar w:fldCharType="end"/>
    </w:r>
  </w:p>
  <w:p w14:paraId="5A3F1244">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40"/>
  <w:drawingGridVerticalSpacing w:val="381"/>
  <w:displayHorizontalDrawingGridEvery w:val="2"/>
  <w:characterSpacingControl w:val="doNotCompress"/>
  <w:footnotePr>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AD4"/>
    <w:rsid w:val="00026341"/>
    <w:rsid w:val="00046FED"/>
    <w:rsid w:val="00067664"/>
    <w:rsid w:val="0008289F"/>
    <w:rsid w:val="000A4DDF"/>
    <w:rsid w:val="000C2BC9"/>
    <w:rsid w:val="000F1A82"/>
    <w:rsid w:val="000F3C7E"/>
    <w:rsid w:val="00113D46"/>
    <w:rsid w:val="00150EE1"/>
    <w:rsid w:val="00171846"/>
    <w:rsid w:val="00176890"/>
    <w:rsid w:val="00184FDE"/>
    <w:rsid w:val="001B5161"/>
    <w:rsid w:val="001C1CE7"/>
    <w:rsid w:val="001E0C69"/>
    <w:rsid w:val="00287BC3"/>
    <w:rsid w:val="00311160"/>
    <w:rsid w:val="00333533"/>
    <w:rsid w:val="00347F50"/>
    <w:rsid w:val="003835B4"/>
    <w:rsid w:val="003C484E"/>
    <w:rsid w:val="003D7792"/>
    <w:rsid w:val="003E3DA8"/>
    <w:rsid w:val="00427D59"/>
    <w:rsid w:val="00432068"/>
    <w:rsid w:val="00437248"/>
    <w:rsid w:val="00454A21"/>
    <w:rsid w:val="004C6407"/>
    <w:rsid w:val="004E5081"/>
    <w:rsid w:val="004F301A"/>
    <w:rsid w:val="005348F5"/>
    <w:rsid w:val="00580644"/>
    <w:rsid w:val="005F5747"/>
    <w:rsid w:val="005F67E6"/>
    <w:rsid w:val="005F6AD4"/>
    <w:rsid w:val="00600FCF"/>
    <w:rsid w:val="006634CC"/>
    <w:rsid w:val="006B65F6"/>
    <w:rsid w:val="006D67D0"/>
    <w:rsid w:val="00764D5C"/>
    <w:rsid w:val="0076546E"/>
    <w:rsid w:val="00772F65"/>
    <w:rsid w:val="0078033C"/>
    <w:rsid w:val="00785433"/>
    <w:rsid w:val="007A0D85"/>
    <w:rsid w:val="007C0891"/>
    <w:rsid w:val="007F11CA"/>
    <w:rsid w:val="008023C5"/>
    <w:rsid w:val="00846920"/>
    <w:rsid w:val="00865D78"/>
    <w:rsid w:val="008854E4"/>
    <w:rsid w:val="008B2347"/>
    <w:rsid w:val="00902BB9"/>
    <w:rsid w:val="009248EF"/>
    <w:rsid w:val="00951ECA"/>
    <w:rsid w:val="00952DCF"/>
    <w:rsid w:val="009960B4"/>
    <w:rsid w:val="009B2692"/>
    <w:rsid w:val="009C7216"/>
    <w:rsid w:val="009D2A8C"/>
    <w:rsid w:val="00A00A6D"/>
    <w:rsid w:val="00A12D84"/>
    <w:rsid w:val="00A2365A"/>
    <w:rsid w:val="00A2398D"/>
    <w:rsid w:val="00A26787"/>
    <w:rsid w:val="00A3088E"/>
    <w:rsid w:val="00A35E06"/>
    <w:rsid w:val="00A459A0"/>
    <w:rsid w:val="00A60563"/>
    <w:rsid w:val="00A7526C"/>
    <w:rsid w:val="00A81115"/>
    <w:rsid w:val="00A81813"/>
    <w:rsid w:val="00A902E3"/>
    <w:rsid w:val="00A944E2"/>
    <w:rsid w:val="00AC6C69"/>
    <w:rsid w:val="00B4337B"/>
    <w:rsid w:val="00B47479"/>
    <w:rsid w:val="00B60986"/>
    <w:rsid w:val="00BA58F8"/>
    <w:rsid w:val="00BD60CF"/>
    <w:rsid w:val="00C25D64"/>
    <w:rsid w:val="00C31C3E"/>
    <w:rsid w:val="00C35EC9"/>
    <w:rsid w:val="00C7649F"/>
    <w:rsid w:val="00C90442"/>
    <w:rsid w:val="00CA20E7"/>
    <w:rsid w:val="00CC5F0F"/>
    <w:rsid w:val="00D310E6"/>
    <w:rsid w:val="00D408E6"/>
    <w:rsid w:val="00D44AB3"/>
    <w:rsid w:val="00D97BF4"/>
    <w:rsid w:val="00DB7790"/>
    <w:rsid w:val="00DC2143"/>
    <w:rsid w:val="00DE7571"/>
    <w:rsid w:val="00E173F2"/>
    <w:rsid w:val="00E17A47"/>
    <w:rsid w:val="00E511FA"/>
    <w:rsid w:val="00EA3D8F"/>
    <w:rsid w:val="00F50FFE"/>
    <w:rsid w:val="00F86F44"/>
    <w:rsid w:val="00F96401"/>
    <w:rsid w:val="00FA4B5F"/>
    <w:rsid w:val="00FB1B60"/>
    <w:rsid w:val="78FB2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40" w:lineRule="auto"/>
      <w:jc w:val="both"/>
    </w:pPr>
    <w:rPr>
      <w:rFonts w:ascii="Times New Roman" w:hAnsi="Times New Roman" w:cs="Times New Roman" w:eastAsiaTheme="minorHAnsi"/>
      <w:sz w:val="28"/>
      <w:szCs w:val="28"/>
      <w:lang w:val="en-US" w:eastAsia="en-US" w:bidi="ar-SA"/>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7"/>
    <w:unhideWhenUsed/>
    <w:qFormat/>
    <w:uiPriority w:val="99"/>
    <w:pPr>
      <w:tabs>
        <w:tab w:val="center" w:pos="4680"/>
        <w:tab w:val="right" w:pos="9360"/>
      </w:tabs>
      <w:spacing w:after="0"/>
    </w:pPr>
  </w:style>
  <w:style w:type="paragraph" w:styleId="14">
    <w:name w:val="header"/>
    <w:basedOn w:val="1"/>
    <w:link w:val="36"/>
    <w:unhideWhenUsed/>
    <w:qFormat/>
    <w:uiPriority w:val="99"/>
    <w:pPr>
      <w:tabs>
        <w:tab w:val="center" w:pos="4680"/>
        <w:tab w:val="right" w:pos="9360"/>
      </w:tabs>
      <w:spacing w:after="0"/>
    </w:pPr>
  </w:style>
  <w:style w:type="paragraph" w:styleId="15">
    <w:name w:val="Subtitle"/>
    <w:basedOn w:val="1"/>
    <w:next w:val="1"/>
    <w:link w:val="28"/>
    <w:qFormat/>
    <w:uiPriority w:val="11"/>
    <w:pPr>
      <w:spacing w:after="160"/>
    </w:pPr>
    <w:rPr>
      <w:rFonts w:asciiTheme="minorHAnsi" w:hAnsiTheme="minorHAnsi" w:eastAsiaTheme="majorEastAsia" w:cstheme="majorBidi"/>
      <w:color w:val="595959" w:themeColor="text1" w:themeTint="A6"/>
      <w:spacing w:val="15"/>
      <w14:textFill>
        <w14:solidFill>
          <w14:schemeClr w14:val="tx1">
            <w14:lumMod w14:val="65000"/>
            <w14:lumOff w14:val="35000"/>
          </w14:schemeClr>
        </w14:solidFill>
      </w14:textFill>
    </w:rPr>
  </w:style>
  <w:style w:type="table" w:styleId="16">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uiPriority w:val="9"/>
    <w:rPr>
      <w:rFonts w:asciiTheme="minorHAnsi" w:hAnsiTheme="minorHAnsi" w:eastAsiaTheme="majorEastAsia" w:cstheme="majorBidi"/>
      <w:color w:val="104862" w:themeColor="accent1" w:themeShade="BF"/>
    </w:rPr>
  </w:style>
  <w:style w:type="character" w:customStyle="1" w:styleId="21">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2">
    <w:name w:val="Heading 5 Char"/>
    <w:basedOn w:val="11"/>
    <w:link w:val="6"/>
    <w:semiHidden/>
    <w:uiPriority w:val="9"/>
    <w:rPr>
      <w:rFonts w:asciiTheme="minorHAnsi" w:hAnsiTheme="minorHAnsi" w:eastAsiaTheme="majorEastAsia" w:cstheme="majorBidi"/>
      <w:color w:val="104862" w:themeColor="accent1" w:themeShade="BF"/>
    </w:rPr>
  </w:style>
  <w:style w:type="character" w:customStyle="1" w:styleId="23">
    <w:name w:val="Heading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5"/>
    <w:uiPriority w:val="11"/>
    <w:rPr>
      <w:rFonts w:asciiTheme="minorHAnsi" w:hAnsiTheme="minorHAnsi" w:eastAsiaTheme="majorEastAsia" w:cstheme="majorBidi"/>
      <w:color w:val="595959" w:themeColor="text1" w:themeTint="A6"/>
      <w:spacing w:val="15"/>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Header Char"/>
    <w:basedOn w:val="11"/>
    <w:link w:val="14"/>
    <w:qFormat/>
    <w:uiPriority w:val="99"/>
  </w:style>
  <w:style w:type="character" w:customStyle="1" w:styleId="37">
    <w:name w:val="Footer Char"/>
    <w:basedOn w:val="11"/>
    <w:link w:val="13"/>
    <w:qFormat/>
    <w:uiPriority w:val="99"/>
  </w:style>
  <w:style w:type="paragraph" w:customStyle="1" w:styleId="38">
    <w:name w:val="Revision"/>
    <w:hidden/>
    <w:semiHidden/>
    <w:qFormat/>
    <w:uiPriority w:val="99"/>
    <w:pPr>
      <w:spacing w:after="0" w:line="240" w:lineRule="auto"/>
    </w:pPr>
    <w:rPr>
      <w:rFonts w:ascii="Times New Roman" w:hAnsi="Times New Roman" w:cs="Times New Roman" w:eastAsiaTheme="minorHAnsi"/>
      <w:sz w:val="28"/>
      <w:szCs w:val="2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2077</Words>
  <Characters>7292</Characters>
  <Lines>66</Lines>
  <Paragraphs>18</Paragraphs>
  <TotalTime>195</TotalTime>
  <ScaleCrop>false</ScaleCrop>
  <LinksUpToDate>false</LinksUpToDate>
  <CharactersWithSpaces>9240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2026-06-29T15:56:00Z</dcterms:created>
  <dc:creator>Toàn Lê Khánh</dc:creator>
  <cp:lastModifiedBy>user</cp:lastModifiedBy>
  <dcterms:modified xsi:type="dcterms:W3CDTF">2026-10-19T07:27:00Z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C89AFDB6306C4F0EAE28FB6553DF1C10_13</vt:lpwstr>
  </property>
</Properties>
</file>