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791" w:type="dxa"/>
        <w:jc w:val="center"/>
        <w:tblLayout w:type="fixed"/>
        <w:tblCellMar>
          <w:top w:w="0" w:type="dxa"/>
          <w:left w:w="108" w:type="dxa"/>
          <w:bottom w:w="0" w:type="dxa"/>
          <w:right w:w="108" w:type="dxa"/>
        </w:tblCellMar>
      </w:tblPr>
      <w:tblGrid>
        <w:gridCol w:w="3689"/>
        <w:gridCol w:w="6102"/>
      </w:tblGrid>
      <w:tr w14:paraId="3D3EAC37">
        <w:tblPrEx>
          <w:tblCellMar>
            <w:top w:w="0" w:type="dxa"/>
            <w:left w:w="108" w:type="dxa"/>
            <w:bottom w:w="0" w:type="dxa"/>
            <w:right w:w="108" w:type="dxa"/>
          </w:tblCellMar>
        </w:tblPrEx>
        <w:trPr>
          <w:trHeight w:val="837" w:hRule="atLeast"/>
          <w:jc w:val="center"/>
        </w:trPr>
        <w:tc>
          <w:tcPr>
            <w:tcW w:w="3689" w:type="dxa"/>
          </w:tcPr>
          <w:p w14:paraId="2F315020">
            <w:pPr>
              <w:spacing w:after="0"/>
              <w:jc w:val="center"/>
              <w:rPr>
                <w:rFonts w:cs="Times New Roman"/>
                <w:color w:val="000000" w:themeColor="text1"/>
                <w:szCs w:val="28"/>
                <w:lang w:val="vi-VN"/>
                <w14:textFill>
                  <w14:solidFill>
                    <w14:schemeClr w14:val="tx1"/>
                  </w14:solidFill>
                </w14:textFill>
              </w:rPr>
            </w:pPr>
            <w:bookmarkStart w:id="0" w:name="_GoBack"/>
            <w:bookmarkEnd w:id="0"/>
            <w:r>
              <w:rPr>
                <w:rFonts w:cs="Times New Roman"/>
                <w:color w:val="000000" w:themeColor="text1"/>
                <w:szCs w:val="28"/>
                <w14:textFill>
                  <w14:solidFill>
                    <w14:schemeClr w14:val="tx1"/>
                  </w14:solidFill>
                </w14:textFill>
              </w:rPr>
              <w:t xml:space="preserve">UBND </w:t>
            </w:r>
            <w:r>
              <w:rPr>
                <w:rFonts w:cs="Times New Roman"/>
                <w:color w:val="000000" w:themeColor="text1"/>
                <w:szCs w:val="28"/>
                <w:lang w:val="vi-VN"/>
                <w14:textFill>
                  <w14:solidFill>
                    <w14:schemeClr w14:val="tx1"/>
                  </w14:solidFill>
                </w14:textFill>
              </w:rPr>
              <w:t>TỈNH HÀ TĨNH</w:t>
            </w:r>
          </w:p>
          <w:p w14:paraId="11DB9CD1">
            <w:pPr>
              <w:spacing w:after="0"/>
              <w:jc w:val="center"/>
              <w:rPr>
                <w:rFonts w:cs="Times New Roman"/>
                <w:bCs/>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862965</wp:posOffset>
                      </wp:positionH>
                      <wp:positionV relativeFrom="paragraph">
                        <wp:posOffset>254000</wp:posOffset>
                      </wp:positionV>
                      <wp:extent cx="336550" cy="0"/>
                      <wp:effectExtent l="0" t="0" r="25400" b="1905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3365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7.95pt;margin-top:20pt;height:0pt;width:26.5pt;z-index:251659264;mso-width-relative:page;mso-height-relative:page;" filled="f" stroked="t" coordsize="21600,21600" o:gfxdata="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VrUdOdUAAAAJAQAADwAAAAAAAAABACAAAAAiAAAA&#10;ZHJzL2Rvd25yZXYueG1sUEsBAhQAFAAAAAgAh07iQD0NAt7RAQAArAMAAA4AAAAAAAAAAQAgAAAA&#10;JAEAAGRycy9lMm9Eb2MueG1sUEsFBgAAAAAGAAYAWQEAAGcFAAAAAA==&#10;">
                      <v:fill on="f" focussize="0,0"/>
                      <v:stroke color="#000000" joinstyle="round"/>
                      <v:imagedata o:title=""/>
                      <o:lock v:ext="edit" aspectratio="f"/>
                    </v:line>
                  </w:pict>
                </mc:Fallback>
              </mc:AlternateContent>
            </w:r>
            <w:r>
              <w:rPr>
                <w:rFonts w:cs="Times New Roman"/>
                <w:b/>
                <w:color w:val="000000" w:themeColor="text1"/>
                <w:szCs w:val="28"/>
                <w14:textFill>
                  <w14:solidFill>
                    <w14:schemeClr w14:val="tx1"/>
                  </w14:solidFill>
                </w14:textFill>
              </w:rPr>
              <w:t>SỞ NỘI VỤ</w:t>
            </w:r>
          </w:p>
        </w:tc>
        <w:tc>
          <w:tcPr>
            <w:tcW w:w="6102" w:type="dxa"/>
          </w:tcPr>
          <w:p w14:paraId="311BB274">
            <w:pPr>
              <w:spacing w:after="0"/>
              <w:jc w:val="center"/>
              <w:rPr>
                <w:rFonts w:cs="Times New Roman"/>
                <w:b/>
                <w:bCs/>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w:t>CỘNG HÒA XÃ HỘI CHỦ NGHĨA VIỆT NAM</w:t>
            </w:r>
          </w:p>
          <w:p w14:paraId="0E99CC48">
            <w:pPr>
              <w:spacing w:after="0"/>
              <w:jc w:val="center"/>
              <w:rPr>
                <w:rFonts w:cs="Times New Roman"/>
                <w:color w:val="000000" w:themeColor="text1"/>
                <w:szCs w:val="28"/>
                <w14:textFill>
                  <w14:solidFill>
                    <w14:schemeClr w14:val="tx1"/>
                  </w14:solidFill>
                </w14:textFill>
              </w:rPr>
            </w:pPr>
            <w:r>
              <w:rPr>
                <w:rFonts w:cs="Times New Roman"/>
                <w:b/>
                <w:bCs/>
                <w:color w:val="000000" w:themeColor="text1"/>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243840</wp:posOffset>
                      </wp:positionV>
                      <wp:extent cx="21031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4.15pt;margin-top:19.2pt;height:0pt;width:165.6pt;z-index:251660288;mso-width-relative:page;mso-height-relative:page;" filled="f" stroked="t" coordsize="21600,21600" o:gfxdata="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PsSI3YAAAACQEAAA8AAAAAAAAA&#10;AQAgAAAAIgAAAGRycy9kb3ducmV2LnhtbFBLAQIUABQAAAAIAIdO4kCnthzf2AEAALQDAAAOAAAA&#10;AAAAAAEAIAAAACcBAABkcnMvZTJvRG9jLnhtbFBLBQYAAAAABgAGAFkBAABxBQAAAAA=&#10;">
                      <v:fill on="f" focussize="0,0"/>
                      <v:stroke weight="0.5pt" color="#5B9BD5 [3204]" miterlimit="8" joinstyle="miter"/>
                      <v:imagedata o:title=""/>
                      <o:lock v:ext="edit" aspectratio="f"/>
                    </v:line>
                  </w:pict>
                </mc:Fallback>
              </mc:AlternateContent>
            </w:r>
            <w:r>
              <w:rPr>
                <w:rFonts w:cs="Times New Roman"/>
                <w:b/>
                <w:bCs/>
                <w:color w:val="000000" w:themeColor="text1"/>
                <w:szCs w:val="28"/>
                <w14:textFill>
                  <w14:solidFill>
                    <w14:schemeClr w14:val="tx1"/>
                  </w14:solidFill>
                </w14:textFill>
              </w:rPr>
              <w:t>Độc lập - Tự do - Hạnh phúc</w:t>
            </w:r>
          </w:p>
        </w:tc>
      </w:tr>
      <w:tr w14:paraId="5AE07E0D">
        <w:tblPrEx>
          <w:tblCellMar>
            <w:top w:w="0" w:type="dxa"/>
            <w:left w:w="108" w:type="dxa"/>
            <w:bottom w:w="0" w:type="dxa"/>
            <w:right w:w="108" w:type="dxa"/>
          </w:tblCellMar>
        </w:tblPrEx>
        <w:trPr>
          <w:trHeight w:val="372" w:hRule="atLeast"/>
          <w:jc w:val="center"/>
        </w:trPr>
        <w:tc>
          <w:tcPr>
            <w:tcW w:w="3689" w:type="dxa"/>
          </w:tcPr>
          <w:p w14:paraId="28618D74">
            <w:pPr>
              <w:spacing w:after="0" w:line="360" w:lineRule="exact"/>
              <w:jc w:val="center"/>
              <w:rPr>
                <w:rFonts w:cs="Times New Roman"/>
                <w:bCs/>
                <w:color w:val="000000" w:themeColor="text1"/>
                <w:szCs w:val="28"/>
                <w14:textFill>
                  <w14:solidFill>
                    <w14:schemeClr w14:val="tx1"/>
                  </w14:solidFill>
                </w14:textFill>
              </w:rPr>
            </w:pPr>
            <w:r>
              <w:rPr>
                <w:rFonts w:cs="Times New Roman"/>
                <w:bCs/>
                <w:color w:val="000000" w:themeColor="text1"/>
                <w:sz w:val="26"/>
                <w:szCs w:val="26"/>
                <w:bdr w:val="single" w:color="auto" w:sz="4" w:space="0"/>
                <w:lang w:val="vi-VN"/>
                <w14:textFill>
                  <w14:solidFill>
                    <w14:schemeClr w14:val="tx1"/>
                  </w14:solidFill>
                </w14:textFill>
              </w:rPr>
              <w:t>DỰ THẢO</w:t>
            </w:r>
          </w:p>
        </w:tc>
        <w:tc>
          <w:tcPr>
            <w:tcW w:w="6102" w:type="dxa"/>
          </w:tcPr>
          <w:p w14:paraId="417C5BF4">
            <w:pPr>
              <w:spacing w:after="0" w:line="360" w:lineRule="exact"/>
              <w:jc w:val="center"/>
              <w:rPr>
                <w:rFonts w:cs="Times New Roman"/>
                <w:i/>
                <w:iCs/>
                <w:color w:val="000000" w:themeColor="text1"/>
                <w:szCs w:val="28"/>
                <w14:textFill>
                  <w14:solidFill>
                    <w14:schemeClr w14:val="tx1"/>
                  </w14:solidFill>
                </w14:textFill>
              </w:rPr>
            </w:pPr>
            <w:r>
              <w:rPr>
                <w:rFonts w:cs="Times New Roman"/>
                <w:i/>
                <w:iCs/>
                <w:color w:val="000000" w:themeColor="text1"/>
                <w:szCs w:val="28"/>
                <w14:textFill>
                  <w14:solidFill>
                    <w14:schemeClr w14:val="tx1"/>
                  </w14:solidFill>
                </w14:textFill>
              </w:rPr>
              <w:t>Hà Tĩnh, ngày        tháng        năm 2026</w:t>
            </w:r>
          </w:p>
        </w:tc>
      </w:tr>
    </w:tbl>
    <w:p w14:paraId="71508D77">
      <w:pPr>
        <w:shd w:val="clear" w:color="auto" w:fill="FFFFFF"/>
        <w:spacing w:before="120" w:after="120" w:line="234" w:lineRule="atLeast"/>
        <w:jc w:val="center"/>
        <w:rPr>
          <w:rFonts w:eastAsia="Times New Roman" w:cs="Times New Roman"/>
          <w:b/>
          <w:bCs/>
          <w:color w:val="000000" w:themeColor="text1"/>
          <w:szCs w:val="28"/>
          <w:lang w:val="en"/>
          <w14:textFill>
            <w14:solidFill>
              <w14:schemeClr w14:val="tx1"/>
            </w14:solidFill>
          </w14:textFill>
        </w:rPr>
      </w:pPr>
    </w:p>
    <w:p w14:paraId="3A4FF8C7">
      <w:pPr>
        <w:shd w:val="clear" w:color="auto" w:fill="FFFFFF"/>
        <w:spacing w:after="0" w:line="240" w:lineRule="auto"/>
        <w:jc w:val="center"/>
        <w:rPr>
          <w:rFonts w:eastAsia="Times New Roman" w:cs="Times New Roman"/>
          <w:b/>
          <w:bCs/>
          <w:color w:val="000000" w:themeColor="text1"/>
          <w:szCs w:val="28"/>
          <w:lang w:val="vi-VN"/>
          <w14:textFill>
            <w14:solidFill>
              <w14:schemeClr w14:val="tx1"/>
            </w14:solidFill>
          </w14:textFill>
        </w:rPr>
      </w:pPr>
      <w:r>
        <w:rPr>
          <w:rFonts w:eastAsia="Times New Roman" w:cs="Times New Roman"/>
          <w:b/>
          <w:bCs/>
          <w:color w:val="000000" w:themeColor="text1"/>
          <w:szCs w:val="28"/>
          <w:lang w:val="en"/>
          <w14:textFill>
            <w14:solidFill>
              <w14:schemeClr w14:val="tx1"/>
            </w14:solidFill>
          </w14:textFill>
        </w:rPr>
        <w:t>B</w:t>
      </w:r>
      <w:r>
        <w:rPr>
          <w:rFonts w:eastAsia="Times New Roman" w:cs="Times New Roman"/>
          <w:b/>
          <w:bCs/>
          <w:color w:val="000000" w:themeColor="text1"/>
          <w:szCs w:val="28"/>
          <w:lang w:val="vi-VN"/>
          <w14:textFill>
            <w14:solidFill>
              <w14:schemeClr w14:val="tx1"/>
            </w14:solidFill>
          </w14:textFill>
        </w:rPr>
        <w:t>ẢN Đ</w:t>
      </w:r>
      <w:r>
        <w:rPr>
          <w:rFonts w:eastAsia="Times New Roman" w:cs="Times New Roman"/>
          <w:b/>
          <w:bCs/>
          <w:color w:val="000000" w:themeColor="text1"/>
          <w:szCs w:val="28"/>
          <w14:textFill>
            <w14:solidFill>
              <w14:schemeClr w14:val="tx1"/>
            </w14:solidFill>
          </w14:textFill>
        </w:rPr>
        <w:t>ÁNH VI</w:t>
      </w:r>
      <w:r>
        <w:rPr>
          <w:rFonts w:eastAsia="Times New Roman" w:cs="Times New Roman"/>
          <w:b/>
          <w:bCs/>
          <w:color w:val="000000" w:themeColor="text1"/>
          <w:szCs w:val="28"/>
          <w:lang w:val="vi-VN"/>
          <w14:textFill>
            <w14:solidFill>
              <w14:schemeClr w14:val="tx1"/>
            </w14:solidFill>
          </w14:textFill>
        </w:rPr>
        <w:t>ỆC PH</w:t>
      </w:r>
      <w:r>
        <w:rPr>
          <w:rFonts w:eastAsia="Times New Roman" w:cs="Times New Roman"/>
          <w:b/>
          <w:bCs/>
          <w:color w:val="000000" w:themeColor="text1"/>
          <w:szCs w:val="28"/>
          <w14:textFill>
            <w14:solidFill>
              <w14:schemeClr w14:val="tx1"/>
            </w14:solidFill>
          </w14:textFill>
        </w:rPr>
        <w:t>ÂN C</w:t>
      </w:r>
      <w:r>
        <w:rPr>
          <w:rFonts w:eastAsia="Times New Roman" w:cs="Times New Roman"/>
          <w:b/>
          <w:bCs/>
          <w:color w:val="000000" w:themeColor="text1"/>
          <w:szCs w:val="28"/>
          <w:lang w:val="vi-VN"/>
          <w14:textFill>
            <w14:solidFill>
              <w14:schemeClr w14:val="tx1"/>
            </w14:solidFill>
          </w14:textFill>
        </w:rPr>
        <w:t xml:space="preserve">ẤP TRONG </w:t>
      </w:r>
      <w:r>
        <w:rPr>
          <w:rFonts w:eastAsia="Times New Roman" w:cs="Times New Roman"/>
          <w:b/>
          <w:bCs/>
          <w:color w:val="000000" w:themeColor="text1"/>
          <w:szCs w:val="28"/>
          <w14:textFill>
            <w14:solidFill>
              <w14:schemeClr w14:val="tx1"/>
            </w14:solidFill>
          </w14:textFill>
        </w:rPr>
        <w:t>D</w:t>
      </w:r>
      <w:r>
        <w:rPr>
          <w:rFonts w:eastAsia="Times New Roman" w:cs="Times New Roman"/>
          <w:b/>
          <w:bCs/>
          <w:color w:val="000000" w:themeColor="text1"/>
          <w:szCs w:val="28"/>
          <w:lang w:val="vi-VN"/>
          <w14:textFill>
            <w14:solidFill>
              <w14:schemeClr w14:val="tx1"/>
            </w14:solidFill>
          </w14:textFill>
        </w:rPr>
        <w:t xml:space="preserve">Ự THẢO QUYẾT ĐỊNH </w:t>
      </w:r>
    </w:p>
    <w:p w14:paraId="02A45EC8">
      <w:pPr>
        <w:shd w:val="clear" w:color="auto" w:fill="FFFFFF"/>
        <w:spacing w:after="0" w:line="240" w:lineRule="auto"/>
        <w:jc w:val="center"/>
        <w:rPr>
          <w:rFonts w:eastAsia="Times New Roman" w:cs="Times New Roman"/>
          <w:b/>
          <w:bCs/>
          <w:color w:val="000000" w:themeColor="text1"/>
          <w:szCs w:val="28"/>
          <w:lang w:val="vi-VN"/>
          <w14:textFill>
            <w14:solidFill>
              <w14:schemeClr w14:val="tx1"/>
            </w14:solidFill>
          </w14:textFill>
        </w:rPr>
      </w:pPr>
      <w:r>
        <w:rPr>
          <w:rFonts w:eastAsia="Times New Roman" w:cs="Times New Roman"/>
          <w:b/>
          <w:bCs/>
          <w:color w:val="000000" w:themeColor="text1"/>
          <w:szCs w:val="28"/>
          <w:lang w:val="vi-VN"/>
          <w14:textFill>
            <w14:solidFill>
              <w14:schemeClr w14:val="tx1"/>
            </w14:solidFill>
          </w14:textFill>
        </w:rPr>
        <w:t xml:space="preserve">PHÂN CẤP MỘT SỐ NỘI DUNG THUỘC THẨM QUYỀN </w:t>
      </w:r>
    </w:p>
    <w:p w14:paraId="6CF074AF">
      <w:pPr>
        <w:shd w:val="clear" w:color="auto" w:fill="FFFFFF"/>
        <w:spacing w:after="0" w:line="240" w:lineRule="auto"/>
        <w:jc w:val="center"/>
        <w:rPr>
          <w:rFonts w:eastAsia="Times New Roman" w:cs="Times New Roman"/>
          <w:b/>
          <w:bCs/>
          <w:color w:val="000000" w:themeColor="text1"/>
          <w:szCs w:val="28"/>
          <w:lang w:val="vi-VN"/>
          <w14:textFill>
            <w14:solidFill>
              <w14:schemeClr w14:val="tx1"/>
            </w14:solidFill>
          </w14:textFill>
        </w:rPr>
      </w:pPr>
      <w:r>
        <w:rPr>
          <w:rFonts w:eastAsia="Times New Roman" w:cs="Times New Roman"/>
          <w:b/>
          <w:bCs/>
          <w:color w:val="000000" w:themeColor="text1"/>
          <w:szCs w:val="28"/>
          <w:lang w:val="vi-VN"/>
          <w14:textFill>
            <w14:solidFill>
              <w14:schemeClr w14:val="tx1"/>
            </w14:solidFill>
          </w14:textFill>
        </w:rPr>
        <w:t xml:space="preserve">CỦA CHỦ TỊCH ỦY BAN NHÂN DÂN TỈNH VỀ QUẢN LÝ </w:t>
      </w:r>
    </w:p>
    <w:p w14:paraId="345ED715">
      <w:pPr>
        <w:shd w:val="clear" w:color="auto" w:fill="FFFFFF"/>
        <w:spacing w:after="0" w:line="240" w:lineRule="auto"/>
        <w:jc w:val="center"/>
        <w:rPr>
          <w:rFonts w:eastAsia="Times New Roman" w:cs="Times New Roman"/>
          <w:b/>
          <w:bCs/>
          <w:color w:val="000000" w:themeColor="text1"/>
          <w:szCs w:val="28"/>
          <w:lang w:val="vi-VN"/>
          <w14:textFill>
            <w14:solidFill>
              <w14:schemeClr w14:val="tx1"/>
            </w14:solidFill>
          </w14:textFill>
        </w:rPr>
      </w:pPr>
      <w:r>
        <w:rPr>
          <w:rFonts w:eastAsia="Times New Roman" w:cs="Times New Roman"/>
          <w:b/>
          <w:bCs/>
          <w:color w:val="000000" w:themeColor="text1"/>
          <w:szCs w:val="28"/>
          <w:lang w:val="vi-VN"/>
          <w14:textFill>
            <w14:solidFill>
              <w14:schemeClr w14:val="tx1"/>
            </w14:solidFill>
          </w14:textFill>
        </w:rPr>
        <w:t xml:space="preserve">CÁN BỘ, CÔNG CHỨC, VIÊN CHỨC </w:t>
      </w:r>
    </w:p>
    <w:p w14:paraId="41E784F3">
      <w:pPr>
        <w:shd w:val="clear" w:color="auto" w:fill="FFFFFF"/>
        <w:spacing w:before="120" w:after="120" w:line="234" w:lineRule="atLeast"/>
        <w:jc w:val="center"/>
        <w:rPr>
          <w:rFonts w:eastAsia="Times New Roman" w:cs="Times New Roman"/>
          <w:b/>
          <w:bCs/>
          <w:color w:val="000000" w:themeColor="text1"/>
          <w:szCs w:val="28"/>
          <w:lang w:val="vi-VN"/>
          <w14:textFill>
            <w14:solidFill>
              <w14:schemeClr w14:val="tx1"/>
            </w14:solidFill>
          </w14:textFill>
        </w:rPr>
      </w:pPr>
    </w:p>
    <w:p w14:paraId="7B21E9A4">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Thực hiện quy định của Luật Ban hành văn bản quy phạm pháp luật, Sở Nội vụ tiến hành đánh giá việc phân cấp trong dự thảo Quyết định phân cấp một số nội dung thuộc thẩm quyền của Chủ tịch Ủy ban nhân dân tỉnh Hà Tĩnh về quản lý cán bộ, công chức, viên chức, với các nội dung như sau:</w:t>
      </w:r>
    </w:p>
    <w:p w14:paraId="7454FC8A">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I. TỔ CHỨC THỰC HIỆN ĐÁNH GIÁ</w:t>
      </w:r>
    </w:p>
    <w:p w14:paraId="7B693A42">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 Bối cảnh xây dựng dự thảo Quyết định</w:t>
      </w:r>
    </w:p>
    <w:p w14:paraId="302E3ADC">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Quyết định số 55/2021/QĐ-UBND</w:t>
      </w:r>
      <w:r>
        <w:rPr>
          <w:rStyle w:val="9"/>
          <w:rFonts w:cs="Times New Roman"/>
          <w:color w:val="000000" w:themeColor="text1"/>
          <w:szCs w:val="28"/>
          <w:lang w:val="vi-VN"/>
          <w14:textFill>
            <w14:solidFill>
              <w14:schemeClr w14:val="tx1"/>
            </w14:solidFill>
          </w14:textFill>
        </w:rPr>
        <w:footnoteReference w:id="0"/>
      </w:r>
      <w:r>
        <w:rPr>
          <w:rFonts w:cs="Times New Roman"/>
          <w:color w:val="000000" w:themeColor="text1"/>
          <w:szCs w:val="28"/>
          <w:lang w:val="vi-VN"/>
          <w14:textFill>
            <w14:solidFill>
              <w14:schemeClr w14:val="tx1"/>
            </w14:solidFill>
          </w14:textFill>
        </w:rPr>
        <w:t xml:space="preserve"> bị bãi bỏ kể từ ngày 22/10/2025</w:t>
      </w:r>
      <w:r>
        <w:rPr>
          <w:rStyle w:val="9"/>
          <w:rFonts w:cs="Times New Roman"/>
          <w:color w:val="000000" w:themeColor="text1"/>
          <w:szCs w:val="28"/>
          <w:lang w:val="vi-VN"/>
          <w14:textFill>
            <w14:solidFill>
              <w14:schemeClr w14:val="tx1"/>
            </w14:solidFill>
          </w14:textFill>
        </w:rPr>
        <w:footnoteReference w:id="1"/>
      </w:r>
      <w:r>
        <w:rPr>
          <w:rFonts w:cs="Times New Roman"/>
          <w:color w:val="000000" w:themeColor="text1"/>
          <w:szCs w:val="28"/>
          <w:lang w:val="vi-VN"/>
          <w14:textFill>
            <w14:solidFill>
              <w14:schemeClr w14:val="tx1"/>
            </w14:solidFill>
          </w14:textFill>
        </w:rPr>
        <w:t>. Trong thời gian chưa ban hành quy định phân cấp mới, Chủ tịch Ủy ban nhân dân tỉnh đã thực hiện ủy quyền một số nội dung thuộc thẩm quyền của mình về quản lý cán bộ, công chức, viên chức cho các cơ quan, đơn vị và Chủ tịch Ủy ban nhân dân cấp xã</w:t>
      </w:r>
      <w:r>
        <w:rPr>
          <w:rStyle w:val="9"/>
          <w:rFonts w:cs="Times New Roman"/>
          <w:color w:val="000000" w:themeColor="text1"/>
          <w:szCs w:val="28"/>
          <w:lang w:val="vi-VN"/>
          <w14:textFill>
            <w14:solidFill>
              <w14:schemeClr w14:val="tx1"/>
            </w14:solidFill>
          </w14:textFill>
        </w:rPr>
        <w:footnoteReference w:id="2"/>
      </w:r>
      <w:r>
        <w:rPr>
          <w:rFonts w:cs="Times New Roman"/>
          <w:color w:val="000000" w:themeColor="text1"/>
          <w:szCs w:val="28"/>
          <w:lang w:val="vi-VN"/>
          <w14:textFill>
            <w14:solidFill>
              <w14:schemeClr w14:val="tx1"/>
            </w14:solidFill>
          </w14:textFill>
        </w:rPr>
        <w:t>. Tuy nhiên, các nội dung ủy quyền chỉ được thực hiện trong thời hạn nhất định, do đó, cần thiết phải thiết lập cơ chế phân định thẩm quyền ổn định, thường xuyên, liên tục để tránh khoảng trống trong thực hiện nhiệm vụ và bảo đảm công tác quản lý cán bộ, công chức, viên chức được thực hiện kịp thời, thống nhất.</w:t>
      </w:r>
    </w:p>
    <w:p w14:paraId="7894CD5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Mặt khác, từ năm 2025 đến nay, hệ thống pháp luật về tổ chức chính quyền địa phương, cán bộ, công chức, viên chức có nhiều thay đổi, trong đó quy định cụ thể hơn về phân cấp, phân quyền và thẩm quyền của các cơ quan, đơn vị trong quản lý đội ngũ cán bộ, công chức, viên chức. Vì vậy, việc xây dựng Quyết định phân cấp là cần thiết để rà soát, xác định đúng các nội dung thuộc thẩm quyền của Chủ tịch Ủy ban nhân dân tỉnh và phân cấp cho cơ quan, người có đủ điều kiện thực hiện theo quy định của pháp luật.</w:t>
      </w:r>
    </w:p>
    <w:p w14:paraId="2CB3C6C2">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Theo khoản 1 Điều 13 Luật Tổ chức chính quyền địa phương ngày 16/6/2025, Chủ tịch Ủy ban nhân dân cấp tỉnh được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07DCCBDC">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Vì vậy, việc ban hành Quyết định phân cấp vừa đáp ứng yêu cầu pháp lý về phân cấp, vừa phù hợp với yêu cầu thực tiễn, góp phần giảm khâu trung gian, rút ngắn thời gian xử lý công việc, nâng cao tính chủ động, trách nhiệm của cơ quan, đơn vị và người đứng đầu.</w:t>
      </w:r>
    </w:p>
    <w:p w14:paraId="2BB3BBD6">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2. Mục đích, yêu cầu đánh giá</w:t>
      </w:r>
    </w:p>
    <w:p w14:paraId="015446DE">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đánh giá nhằm làm rõ sự cần thiết và tính phù hợp của việc phân cấp; thẩm quyền của Chủ tịch Ủy ban nhân dân tỉnh trong việc phân cấp; sự phù hợp của từng nội dung, đối tượng và chủ thể được phân cấp; trách nhiệm, cơ chế hướng dẫn, kiểm tra, giám sát và xử lý các vấn đề phát sinh sau khi phân cấp. Việc đánh giá bảo đảm nguyên tắc chỉ phân cấp những nhiệm vụ, quyền hạn thuộc thẩm quyền của Chủ tịch Ủy ban nhân dân tỉnh và pháp luật cho phép phân cấp; không làm thay đổi thẩm quyền đã được pháp luật quy định trực tiếp cho cơ quan, người có thẩm quyền khác.</w:t>
      </w:r>
    </w:p>
    <w:p w14:paraId="2B89178B">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II. KẾT QUẢ ĐÁNH GIÁ VIỆC PHÂN CẤP TRONG DỰ THẢO QUYẾT ĐỊNH</w:t>
      </w:r>
    </w:p>
    <w:p w14:paraId="455900A5">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1. Sự cần thiết của việc phân cấp, thẩm quyền phân cấp</w:t>
      </w:r>
    </w:p>
    <w:p w14:paraId="027A88E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1.1. Sự cần thiết</w:t>
      </w:r>
    </w:p>
    <w:p w14:paraId="06E839D3">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phân cấp một số nội dung thuộc thẩm quyền của Chủ tịch Ủy ban nhân dân tỉnh về quản lý cán bộ, công chức, viên chức là cần thiết, xuất phát từ các yêu cầu sau:</w:t>
      </w:r>
    </w:p>
    <w:p w14:paraId="55132A6F">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Bảo đảm việc thực hiện nhiệm vụ quản lý cán bộ, công chức, viên chức được liên tục, thường xuyên, kịp thời nhằm thay thế cơ chế ủy quyền đang thực hiện;</w:t>
      </w:r>
    </w:p>
    <w:p w14:paraId="17B99EE6">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Khắc phục khoảng trống về cơ chế phân định thẩm quyền sau khi Quyết định số 55/2021/QĐ-UBND bị bãi bỏ;</w:t>
      </w:r>
    </w:p>
    <w:p w14:paraId="73FBE14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Phù hợp với chủ trương đẩy mạnh phân cấp, phân quyền, xác định rõ thẩm quyền đi đôi với trách nhiệm của cơ quan, đơn vị và người đứng đầu;</w:t>
      </w:r>
    </w:p>
    <w:p w14:paraId="292C3913">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Giảm khâu trung gian, giảm khối lượng công việc phải giải quyết trực tiếp tại cấp tỉnh đối với những nội dung có tính chất thường xuyên, phát sinh nhiều và có thể được thực hiện hiệu quả tại cơ quan, đơn vị, địa phương;</w:t>
      </w:r>
    </w:p>
    <w:p w14:paraId="761CAE59">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Tăng tính chủ động của cơ quan chuyên môn, tổ chức hành chính khác thuộc Ủy ban nhân dân cấp tỉnh, UBND cấp xã trong tổ chức thực hiện nhiệm vụ, đồng thời bảo đảm trách nhiệm giải trình, kiểm tra, giám sát của cơ quan quản lý cấp trên;</w:t>
      </w:r>
    </w:p>
    <w:p w14:paraId="437143B4">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Bảo đảm thực hiện các nội dung quản lý đối với cán bộ, công chức, viên chức được thực hiện kịp thời, đúng đối tượng, đúng thẩm quyền, phù hợp với yêu cầu thực tiễn.</w:t>
      </w:r>
    </w:p>
    <w:p w14:paraId="6B3F39D0">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Các nội dung dự kiến phân cấp chủ yếu là những nhiệm vụ có tính chất nghiệp vụ, thường xuyên, phát sinh trực tiếp trong quá trình quản lý cán bộ, công chức, viên chức; việc phân cấp không làm thay đổi nguyên tắc quản lý thống nhất của tỉnh và không làm phát sinh thêm tổ chức bộ máy, biên chế.</w:t>
      </w:r>
    </w:p>
    <w:p w14:paraId="43190248">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1.2. Thẩm quyền phân cấp</w:t>
      </w:r>
    </w:p>
    <w:p w14:paraId="3179638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 Tại khoản 1 Điều 13 Luật Tổ chức chính quyền địa phương ngày 16/6/2025 quy định về phân cấp: </w:t>
      </w:r>
    </w:p>
    <w:p w14:paraId="18EC87BE">
      <w:pPr>
        <w:spacing w:before="120" w:after="0"/>
        <w:ind w:firstLine="720"/>
        <w:jc w:val="both"/>
        <w:rPr>
          <w:rFonts w:cs="Times New Roman"/>
          <w:i/>
          <w:color w:val="000000" w:themeColor="text1"/>
          <w:szCs w:val="28"/>
          <w:lang w:val="vi-VN"/>
          <w14:textFill>
            <w14:solidFill>
              <w14:schemeClr w14:val="tx1"/>
            </w14:solidFill>
          </w14:textFill>
        </w:rPr>
      </w:pPr>
      <w:r>
        <w:rPr>
          <w:rFonts w:cs="Times New Roman"/>
          <w:i/>
          <w:color w:val="000000" w:themeColor="text1"/>
          <w:szCs w:val="28"/>
          <w:lang w:val="vi-VN"/>
          <w14:textFill>
            <w14:solidFill>
              <w14:schemeClr w14:val="tx1"/>
            </w14:solidFill>
          </w14:textFill>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452038FF">
      <w:pPr>
        <w:spacing w:before="120" w:after="0"/>
        <w:ind w:firstLine="720"/>
        <w:jc w:val="both"/>
        <w:rPr>
          <w:rFonts w:cs="Times New Roman"/>
          <w:i/>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 Tại khoản 9 Điều 40 Luật Cán bộ, công chức 2025 quy định một trong những nội dung quản lý cán bộ, công chức: </w:t>
      </w:r>
      <w:r>
        <w:rPr>
          <w:rFonts w:cs="Times New Roman"/>
          <w:i/>
          <w:color w:val="000000" w:themeColor="text1"/>
          <w:szCs w:val="28"/>
          <w:lang w:val="vi-VN"/>
          <w14:textFill>
            <w14:solidFill>
              <w14:schemeClr w14:val="tx1"/>
            </w14:solidFill>
          </w14:textFill>
        </w:rPr>
        <w:t>“Phân cấp, ủy quyền thực hiện các nội dung quản lý cán bộ, công chức”.</w:t>
      </w:r>
    </w:p>
    <w:p w14:paraId="00377897">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 Tại khoản 3 Điều 3 Luật Viên chức 2025 quy định nguyên tắc quản lý viên chức: </w:t>
      </w:r>
      <w:r>
        <w:rPr>
          <w:rFonts w:cs="Times New Roman"/>
          <w:i/>
          <w:color w:val="000000" w:themeColor="text1"/>
          <w:szCs w:val="28"/>
          <w:lang w:val="vi-VN"/>
          <w14:textFill>
            <w14:solidFill>
              <w14:schemeClr w14:val="tx1"/>
            </w14:solidFill>
          </w14:textFill>
        </w:rPr>
        <w:t>“Thực hiện phân cấp, phân quyền, bảo đảm quyền tự chủ toàn diện của đơn vị sự nghiệp công lập gắn với trách nhiệm của người đứng đầu; xây dựng và công khai cơ chế giải trình, giám sát của cơ quan, người có thẩm quyền trong công tác quản lý đội ngũ viên chức”.</w:t>
      </w:r>
    </w:p>
    <w:p w14:paraId="6B19E62F">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 Tại điểm đ khoản 2 Điều 67 Nghị định số 170/2025/NĐ-CP được sửa đổi, bổ sung tại Điều 33 Nghị định số 300/2026/NĐ-CP quy định trách nhiệm của Chủ tịch Ủy ban nhân dân tỉnh: </w:t>
      </w:r>
      <w:r>
        <w:rPr>
          <w:rFonts w:cs="Times New Roman"/>
          <w:i/>
          <w:color w:val="000000" w:themeColor="text1"/>
          <w:szCs w:val="28"/>
          <w:lang w:val="vi-VN"/>
          <w14:textFill>
            <w14:solidFill>
              <w14:schemeClr w14:val="tx1"/>
            </w14:solidFill>
          </w14:textFill>
        </w:rPr>
        <w:t xml:space="preserve">“Phân cấp việc thực hiện các nội dung thuộc thẩm quyền; thực hiện các nội dung quản lý cán bộ theo phân cấp quản lý cán bộ của cấp có thẩm quyền”. </w:t>
      </w:r>
    </w:p>
    <w:p w14:paraId="5CED6C56">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xml:space="preserve">- Tại điểm đ khoản 2 Điều 58 Nghị định số 259/2026/NĐ-CP quy định trách nhiệm của Chủ tịch Ủy ban nhân dân tỉnh: </w:t>
      </w:r>
      <w:r>
        <w:rPr>
          <w:rFonts w:cs="Times New Roman"/>
          <w:i/>
          <w:color w:val="000000" w:themeColor="text1"/>
          <w:szCs w:val="28"/>
          <w:lang w:val="vi-VN"/>
          <w14:textFill>
            <w14:solidFill>
              <w14:schemeClr w14:val="tx1"/>
            </w14:solidFill>
          </w14:textFill>
        </w:rPr>
        <w:t>“Phân cấp việc thực hiện các nội dung thuộc thẩm quyền; thực hiện các nội dung quản lý cán bộ theo phân cấp quản lý cán bộ của cấp có thẩm quyền”.</w:t>
      </w:r>
    </w:p>
    <w:p w14:paraId="5BA09528">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Như vậy, Chủ tịch Ủy ban nhân dân cấp tỉnh phân cấp cho cơ quan chuyên môn, tổ chức hành chính khác thuộc Ủy ban nhân dân tỉnh và Chủ tịch Ủy ban nhân dân cấp xã thực hiện một số nội dung thuộc thẩm quyền của mình là phù hợp với quy định của Luật Tổ chức chính quyền địa phương và các quy định pháp luật hiện hành.</w:t>
      </w:r>
    </w:p>
    <w:p w14:paraId="69687378">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2. Đánh giá nội dung phân cấp</w:t>
      </w:r>
    </w:p>
    <w:p w14:paraId="6722B4C8">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Các nội dung dự kiến phân cấp trong dự thảo Quyết định được rà soát trên cơ sở thẩm quyền của Chủ tịch Ủy ban nhân dân tỉnh, tính chất của từng nhiệm vụ và điều kiện thực tế của cơ quan, đơn vị, địa phương được phân cấp.</w:t>
      </w:r>
    </w:p>
    <w:p w14:paraId="397E55F7">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2.1. Đối với cơ quan chuyên môn, tổ chức hành chính khác thuộc Ủy ban nhân dân tỉnh</w:t>
      </w:r>
    </w:p>
    <w:p w14:paraId="3EB4C17E">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Dự thảo phân cấp quyết định cho thôi việc, nghỉ hưu đối với công chức không giữ chức vụ lãnh đạo, quản lý công tác tại cơ quan chuyên môn, tổ chức hành chính khác thuộc Ủy ban nhân dân tỉnh.</w:t>
      </w:r>
    </w:p>
    <w:p w14:paraId="376FD3A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Đây là các trường hợp phát sinh thường xuyên trong quá trình quản lý, sử dụng công chức; cơ quan, tổ chức nơi công chức công tác trực tiếp nắm tình hình, hồ sơ và quá trình thực hiện nhiệm vụ của công chức, đồng thời có điều kiện thuận lợi để tổ chức thực hiện. Việc phân cấp giúp rút ngắn quy trình xử lý, bảo đảm kịp thời việc giải quyết chế độ, chính sách, đồng thời xác định rõ trách nhiệm của người đứng đầu cơ quan, đơn vị.</w:t>
      </w:r>
    </w:p>
    <w:p w14:paraId="5818193E">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2.2. Đối với Sở Nội vụ</w:t>
      </w:r>
    </w:p>
    <w:p w14:paraId="58517148">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Ngoài các nội dung được phân cấp theo quy định chung, Sở Nội vụ được phân cấp thực hiện nội dung: Đồng ý bằng văn bản về việc biệt phái viên chức thuộc phạm vi quản lý của Ủy ban nhân dân tỉnh làm công việc ở vị trí việc làm của công chức.</w:t>
      </w:r>
    </w:p>
    <w:p w14:paraId="40538A87">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phân cấp cho Sở Nội vụ là phù hợp với chức năng, nhiệm vụ của cơ quan tham mưu, giúp Ủy ban nhân dân tỉnh, Chủ tịch Ủy ban nhân dân tỉnh thực hiện quản lý nhà nước về tổ chức bộ máy, cán bộ, công chức, viên chức; đồng thời bảo đảm tính thống nhất trong hướng dẫn, theo dõi và tổ chức thực hiện các nội dung quản lý có phạm vi toàn tỉnh.</w:t>
      </w:r>
    </w:p>
    <w:p w14:paraId="5FF63562">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2.3. Đối với Chủ tịch Ủy ban nhân dân cấp xã</w:t>
      </w:r>
    </w:p>
    <w:p w14:paraId="036AD05D">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Dự thảo phân cấp cho Chủ tịch Ủy ban nhân dân cấp xã:</w:t>
      </w:r>
    </w:p>
    <w:p w14:paraId="33C83882">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Quyết định cho thôi việc, nghỉ hưu đối với công chức không giữ chức vụ lãnh đạo, quản lý công tác tại Ủy ban nhân dân cấp xã;</w:t>
      </w:r>
    </w:p>
    <w:p w14:paraId="232C99F6">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 Quyết định xử lý kỷ luật đối với cán bộ giữ chức vụ Phó Chủ tịch Ủy ban nhân dân cấp xã và một số trường hợp cán bộ lãnh đạo Ủy ban nhân dân cấp xã đã nghỉ hưu, cho thôi việc nhưng có vi phạm trong thời gian công tác theo phạm vi, điều kiện quy định tại dự thảo Quyết định.</w:t>
      </w:r>
    </w:p>
    <w:p w14:paraId="011B37D4">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Đối với công chức không giữ chức vụ lãnh đạo, quản lý công tác tại Ủy ban nhân dân cấp xã, việc phân cấp cho Chủ tịch Ủy ban nhân dân cấp xã thực hiện thôi việc, nghỉ hưu là phù hợp với yêu cầu quản lý trực tiếp, bảo đảm giải quyết kịp thời các chế độ, chính sách và gắn thẩm quyền với trách nhiệm của người đứng đầu.</w:t>
      </w:r>
    </w:p>
    <w:p w14:paraId="0C39821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Đối với việc xử lý kỷ luật cán bộ, dự thảo chỉ phân cấp trong phạm vi pháp luật cho phép và trên cơ sở thẩm quyền xử lý kỷ luật của Chủ tịch Ủy ban nhân dân tỉnh đối với các chức danh cán bộ thuộc diện mình phê chuẩn trừ cán bộ thuộc thẩm quyền quản lý của Ban Thường vụ Tỉnh ủy. Việc phân cấp nhằm bảo đảm xử lý kịp thời các vi phạm phát sinh, nhất là trong điều kiện thực hiện mô hình chính quyền địa phương 02 cấp; đồng thời xác định rõ trách nhiệm của Chủ tịch Ủy ban nhân dân cấp xã đối với các trường hợp thuộc phạm vi quản lý sau khi sắp xếp đơn vị hành chính.</w:t>
      </w:r>
    </w:p>
    <w:p w14:paraId="1541013B">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Nhìn chung, các nội dung dự kiến phân cấp có tính chất thường xuyên, phát sinh trực tiếp tại cơ quan, đơn vị, địa phương; chủ thể được phân cấp có điều kiện tiếp cận hồ sơ, thông tin và tổ chức thực hiện. Việc phân cấp không làm thay đổi nguyên tắc quản lý thống nhất, không chuyển giao những thẩm quyền mà pháp luật quy định trực tiếp cho cơ quan, người có thẩm quyền khác và không làm phát sinh tổ chức bộ máy, biên chế.</w:t>
      </w:r>
    </w:p>
    <w:p w14:paraId="79D8F4FB">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3. Đánh giá về điều kiện bảo đảm thực hiện sau phân cấp</w:t>
      </w:r>
    </w:p>
    <w:p w14:paraId="133B40C1">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Các cơ quan, đơn vị và Chủ tịch Ủy ban nhân dân cấp xã được phân cấp thực hiện nhiệm vụ trên cơ sở chức năng, nhiệm vụ, quyền hạn và đội ngũ cán bộ, công chức hiện có; không phải thành lập tổ chức, bộ phận hoặc bố trí thêm biên chế để thực hiện các nội dung được phân cấp.</w:t>
      </w:r>
    </w:p>
    <w:p w14:paraId="632FD5D9">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tổ chức thực hiện chủ yếu sử dụng nguồn nhân lực và các điều kiện bảo đảm hiện có của các cơ quan, đơn vị, địa phương. Các chủ thể được phân cấp có trách nhiệm bố trí, phân công cán bộ, công chức thực hiện nhiệm vụ phù hợp với chức năng, nhiệm vụ được giao, bảo đảm đúng trình tự, thủ tục và quy định của pháp luật.</w:t>
      </w:r>
    </w:p>
    <w:p w14:paraId="3D2BC657">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Qua rà soát, các cơ quan, đơn vị và địa phương được phân cấp cơ bản có đủ điều kiện cần thiết để thực hiện các nhiệm vụ, quyền hạn được giao. Việc ban hành và tổ chức thực hiện Quyết định không làm phát sinh yêu cầu về tổ chức bộ máy, biên chế hoặc nguồn kinh phí riêng.</w:t>
      </w:r>
    </w:p>
    <w:p w14:paraId="5364CFA5">
      <w:pPr>
        <w:spacing w:before="120" w:after="0"/>
        <w:ind w:firstLine="720"/>
        <w:jc w:val="both"/>
        <w:rPr>
          <w:rFonts w:cs="Times New Roman"/>
          <w:b/>
          <w:color w:val="000000" w:themeColor="text1"/>
          <w:szCs w:val="28"/>
          <w:lang w:val="vi-VN"/>
          <w14:textFill>
            <w14:solidFill>
              <w14:schemeClr w14:val="tx1"/>
            </w14:solidFill>
          </w14:textFill>
        </w:rPr>
      </w:pPr>
      <w:r>
        <w:rPr>
          <w:rFonts w:cs="Times New Roman"/>
          <w:b/>
          <w:color w:val="000000" w:themeColor="text1"/>
          <w:szCs w:val="28"/>
          <w:lang w:val="vi-VN"/>
          <w14:textFill>
            <w14:solidFill>
              <w14:schemeClr w14:val="tx1"/>
            </w14:solidFill>
          </w14:textFill>
        </w:rPr>
        <w:t>4. Kiểm tra, giám sát và trách nhiệm sau phân cấp</w:t>
      </w:r>
    </w:p>
    <w:p w14:paraId="66123C01">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Việc phân cấp được thực hiện gắn với trách nhiệm, quyền hạn và cơ chế kiểm tra, giám sát, bảo đảm phân cấp nhưng không buông lỏng quản lý. Dự thảo Quyết định quy định trách nhiệm của cơ quan, người được phân cấp trong việc thực hiện đúng phạm vi, thẩm quyền được giao và chịu trách nhiệm trước Chủ tịch Ủy ban nhân dân tỉnh, trước pháp luật về kết quả thực hiện.</w:t>
      </w:r>
    </w:p>
    <w:p w14:paraId="3E13F9EA">
      <w:pPr>
        <w:spacing w:before="120" w:after="0"/>
        <w:ind w:firstLine="720"/>
        <w:jc w:val="both"/>
        <w:rPr>
          <w:rFonts w:cs="Times New Roman"/>
          <w:color w:val="000000" w:themeColor="text1"/>
          <w:szCs w:val="28"/>
          <w:lang w:val="vi-VN"/>
          <w14:textFill>
            <w14:solidFill>
              <w14:schemeClr w14:val="tx1"/>
            </w14:solidFill>
          </w14:textFill>
        </w:rPr>
      </w:pPr>
      <w:r>
        <w:rPr>
          <w:rFonts w:cs="Times New Roman"/>
          <w:color w:val="000000" w:themeColor="text1"/>
          <w:szCs w:val="28"/>
          <w:lang w:val="vi-VN"/>
          <w14:textFill>
            <w14:solidFill>
              <w14:schemeClr w14:val="tx1"/>
            </w14:solidFill>
          </w14:textFill>
        </w:rPr>
        <w:t>Sở Nội vụ có trách nhiệm hướng dẫn, theo dõi, kiểm tra, giám sát việc thực hiện các nội dung được phân cấp; kịp thời tổng hợp, báo cáo Chủ tịch Ủy ban nhân dân tỉnh những khó khăn, vướng mắc phát sinh và đề xuất biện pháp xử lý theo thẩm quyền. Trường hợp phát sinh nội dung vượt phạm vi, thẩm quyền được phân cấp hoặc có cách hiểu, áp dụng chưa thống nhất, cơ quan, người được phân cấp phải kịp thời báo cáo Chủ tịch Ủy ban nhân dân tỉnh (qua Sở Nội vụ) để được hướng dẫn, xem xét, quyết định theo quy định.</w:t>
      </w:r>
    </w:p>
    <w:p w14:paraId="368607C3">
      <w:pPr>
        <w:spacing w:before="120"/>
        <w:ind w:firstLine="720"/>
        <w:jc w:val="both"/>
        <w:rPr>
          <w:rFonts w:cs="Times New Roman"/>
          <w:color w:val="000000" w:themeColor="text1"/>
          <w:szCs w:val="28"/>
          <w:lang w:val="vi-VN"/>
          <w14:textFill>
            <w14:solidFill>
              <w14:schemeClr w14:val="tx1"/>
            </w14:solidFill>
          </w14:textFill>
        </w:rPr>
      </w:pPr>
    </w:p>
    <w:sectPr>
      <w:headerReference r:id="rId5" w:type="default"/>
      <w:pgSz w:w="11907" w:h="16840"/>
      <w:pgMar w:top="1134" w:right="1134" w:bottom="1134" w:left="1701" w:header="720" w:footer="72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altName w:val="Segoe Print"/>
    <w:panose1 w:val="020B7200000000000000"/>
    <w:charset w:val="00"/>
    <w:family w:val="swiss"/>
    <w:pitch w:val="default"/>
    <w:sig w:usb0="00000000" w:usb1="00000000" w:usb2="00000000" w:usb3="00000000" w:csb0="00000001" w:csb1="00000000"/>
  </w:font>
  <w:font w:name="Calibri">
    <w:panose1 w:val="020F05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before="0" w:after="0" w:line="259" w:lineRule="auto"/>
      </w:pPr>
      <w:r>
        <w:separator/>
      </w:r>
    </w:p>
  </w:footnote>
  <w:footnote w:type="continuationSeparator" w:id="7">
    <w:p>
      <w:pPr>
        <w:spacing w:before="0" w:after="0" w:line="259" w:lineRule="auto"/>
      </w:pPr>
      <w:r>
        <w:continuationSeparator/>
      </w:r>
    </w:p>
  </w:footnote>
  <w:footnote w:id="0">
    <w:p w14:paraId="42BB5217">
      <w:pPr>
        <w:pStyle w:val="10"/>
        <w:jc w:val="both"/>
        <w:rPr>
          <w:lang w:val="vi-VN"/>
        </w:rPr>
      </w:pPr>
      <w:r>
        <w:rPr>
          <w:rStyle w:val="9"/>
        </w:rPr>
        <w:footnoteRef/>
      </w:r>
      <w:r>
        <w:t xml:space="preserve"> </w:t>
      </w:r>
      <w:r>
        <w:rPr>
          <w:lang w:val="vi-VN"/>
        </w:rPr>
        <w:t>Quyết định số 55/2021/QĐ-UBND ngày 31/12/2021 của UBND tỉnh ban hành 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UBND tỉnh.</w:t>
      </w:r>
    </w:p>
  </w:footnote>
  <w:footnote w:id="1">
    <w:p w14:paraId="49A67B9A">
      <w:pPr>
        <w:pStyle w:val="7"/>
        <w:jc w:val="both"/>
        <w:rPr>
          <w:lang w:val="vi-VN"/>
        </w:rPr>
      </w:pPr>
      <w:r>
        <w:rPr>
          <w:rStyle w:val="9"/>
          <w:rFonts w:ascii="Times New Roman" w:hAnsi="Times New Roman"/>
          <w:sz w:val="20"/>
        </w:rPr>
        <w:footnoteRef/>
      </w:r>
      <w:r>
        <w:rPr>
          <w:rFonts w:ascii="Times New Roman" w:hAnsi="Times New Roman"/>
          <w:sz w:val="20"/>
        </w:rPr>
        <w:t xml:space="preserve"> </w:t>
      </w:r>
      <w:r>
        <w:rPr>
          <w:rFonts w:ascii="Times New Roman" w:hAnsi="Times New Roman"/>
          <w:sz w:val="20"/>
          <w:lang w:val="vi-VN"/>
        </w:rPr>
        <w:t>Quyết định số 2601/QĐ-UBND ngày 26/10/2025 của UBND tỉnh bãi bỏ quyết định số 55/2021/QĐ-UBND ngày 31/12/2021 ban hành Quy định quản lý tổ chức bộ máy, biên chế, cán bộ, công chức, viên chức trong cơ quan hành chính, đơn vị sự nghiệp công lập và người quản lý doanh nghiệp nhà nước, kiểm soát viên, người đại diện phần vốn nhà nước thuộc UBND tỉnh.</w:t>
      </w:r>
    </w:p>
  </w:footnote>
  <w:footnote w:id="2">
    <w:p w14:paraId="096FE7C9">
      <w:pPr>
        <w:pStyle w:val="10"/>
        <w:jc w:val="both"/>
        <w:rPr>
          <w:lang w:val="vi-VN"/>
        </w:rPr>
      </w:pPr>
      <w:r>
        <w:rPr>
          <w:rStyle w:val="9"/>
        </w:rPr>
        <w:footnoteRef/>
      </w:r>
      <w:r>
        <w:t xml:space="preserve"> </w:t>
      </w:r>
      <w:r>
        <w:rPr>
          <w:lang w:val="vi-VN"/>
        </w:rPr>
        <w:t xml:space="preserve">Quyết định số 3273/QĐ-UBND ngày 25/12/2025 của UBND tỉnh </w:t>
      </w:r>
      <w:r>
        <w:t>ủy quyền một số nội dung về quản lý, thực hiện chế độ, chính sách đối với cán bộ, công chức, viên chức</w:t>
      </w:r>
      <w:r>
        <w:rPr>
          <w:lang w:val="vi-VN"/>
        </w:rPr>
        <w:t xml:space="preserve"> thuộc thẩm quyền của Chủ tịch UBND tỉnh (</w:t>
      </w:r>
      <w:r>
        <w:rPr>
          <w:color w:val="0D0D0D"/>
          <w:lang w:val="vi-VN"/>
        </w:rPr>
        <w:t>được điều chỉnh về thời hạn ủy quyền tại Quyết định số 1726/QĐ-UBND ngày 30/6/2026)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72660481"/>
      <w:docPartObj>
        <w:docPartGallery w:val="AutoText"/>
      </w:docPartObj>
    </w:sdtPr>
    <w:sdtContent>
      <w:p w14:paraId="33E3461B">
        <w:pPr>
          <w:pStyle w:val="11"/>
          <w:jc w:val="center"/>
        </w:pPr>
        <w:r>
          <w:fldChar w:fldCharType="begin"/>
        </w:r>
        <w:r>
          <w:instrText xml:space="preserve"> PAGE   \* MERGEFORMAT </w:instrText>
        </w:r>
        <w:r>
          <w:fldChar w:fldCharType="separate"/>
        </w:r>
        <w:r>
          <w:t>5</w:t>
        </w:r>
        <w:r>
          <w:fldChar w:fldCharType="end"/>
        </w:r>
      </w:p>
    </w:sdtContent>
  </w:sdt>
  <w:p w14:paraId="31055213">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10"/>
  <w:displayHorizontalDrawingGridEvery w:val="2"/>
  <w:displayVerticalDrawingGridEvery w:val="2"/>
  <w:characterSpacingControl w:val="doNotCompress"/>
  <w:footnotePr>
    <w:footnote w:id="6"/>
    <w:footnote w:id="7"/>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534"/>
    <w:rsid w:val="00003F29"/>
    <w:rsid w:val="000A2AF4"/>
    <w:rsid w:val="000A68F5"/>
    <w:rsid w:val="000B7DF1"/>
    <w:rsid w:val="000D0712"/>
    <w:rsid w:val="000D7B90"/>
    <w:rsid w:val="0012227A"/>
    <w:rsid w:val="001346CF"/>
    <w:rsid w:val="00174C6E"/>
    <w:rsid w:val="00187300"/>
    <w:rsid w:val="003255A1"/>
    <w:rsid w:val="00385CD3"/>
    <w:rsid w:val="003E4AC0"/>
    <w:rsid w:val="004D0D50"/>
    <w:rsid w:val="004D4659"/>
    <w:rsid w:val="00527ED0"/>
    <w:rsid w:val="0058297E"/>
    <w:rsid w:val="00582A1F"/>
    <w:rsid w:val="005B5AFD"/>
    <w:rsid w:val="005D0C8C"/>
    <w:rsid w:val="00646C22"/>
    <w:rsid w:val="006C0145"/>
    <w:rsid w:val="00705618"/>
    <w:rsid w:val="00710964"/>
    <w:rsid w:val="0078054D"/>
    <w:rsid w:val="00805340"/>
    <w:rsid w:val="008659E6"/>
    <w:rsid w:val="00865B33"/>
    <w:rsid w:val="00872AB8"/>
    <w:rsid w:val="008B3B8E"/>
    <w:rsid w:val="008F2240"/>
    <w:rsid w:val="009341BF"/>
    <w:rsid w:val="00947C9E"/>
    <w:rsid w:val="00985FA1"/>
    <w:rsid w:val="00A54869"/>
    <w:rsid w:val="00AB74B2"/>
    <w:rsid w:val="00B571FC"/>
    <w:rsid w:val="00B80E3A"/>
    <w:rsid w:val="00B938C4"/>
    <w:rsid w:val="00BE0A68"/>
    <w:rsid w:val="00BF21E3"/>
    <w:rsid w:val="00BF4C33"/>
    <w:rsid w:val="00C304B6"/>
    <w:rsid w:val="00C6246B"/>
    <w:rsid w:val="00D44818"/>
    <w:rsid w:val="00D92534"/>
    <w:rsid w:val="00D92828"/>
    <w:rsid w:val="00DF4F3A"/>
    <w:rsid w:val="00DF51DA"/>
    <w:rsid w:val="00E16067"/>
    <w:rsid w:val="00E26434"/>
    <w:rsid w:val="00E46DD7"/>
    <w:rsid w:val="00E53351"/>
    <w:rsid w:val="00EC4AD4"/>
    <w:rsid w:val="00EE0A52"/>
    <w:rsid w:val="00EF5205"/>
    <w:rsid w:val="00F7507D"/>
    <w:rsid w:val="00FF1668"/>
    <w:rsid w:val="50EE3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2"/>
      <w:lang w:val="en-US" w:eastAsia="en-US" w:bidi="ar-SA"/>
    </w:rPr>
  </w:style>
  <w:style w:type="paragraph" w:styleId="2">
    <w:name w:val="heading 1"/>
    <w:basedOn w:val="1"/>
    <w:link w:val="17"/>
    <w:qFormat/>
    <w:uiPriority w:val="9"/>
    <w:pPr>
      <w:spacing w:before="100" w:beforeAutospacing="1" w:after="100" w:afterAutospacing="1" w:line="240" w:lineRule="auto"/>
      <w:outlineLvl w:val="0"/>
    </w:pPr>
    <w:rPr>
      <w:rFonts w:eastAsia="Times New Roman" w:cs="Times New Roman"/>
      <w:b/>
      <w:bCs/>
      <w:kern w:val="36"/>
      <w:sz w:val="48"/>
      <w:szCs w:val="48"/>
    </w:rPr>
  </w:style>
  <w:style w:type="paragraph" w:styleId="3">
    <w:name w:val="heading 2"/>
    <w:basedOn w:val="1"/>
    <w:link w:val="18"/>
    <w:qFormat/>
    <w:uiPriority w:val="9"/>
    <w:pPr>
      <w:spacing w:before="100" w:beforeAutospacing="1" w:after="100" w:afterAutospacing="1" w:line="240" w:lineRule="auto"/>
      <w:outlineLvl w:val="1"/>
    </w:pPr>
    <w:rPr>
      <w:rFonts w:eastAsia="Times New Roman" w:cs="Times New Roman"/>
      <w:b/>
      <w:bCs/>
      <w:sz w:val="36"/>
      <w:szCs w:val="36"/>
    </w:rPr>
  </w:style>
  <w:style w:type="paragraph" w:styleId="4">
    <w:name w:val="heading 3"/>
    <w:basedOn w:val="1"/>
    <w:link w:val="19"/>
    <w:qFormat/>
    <w:uiPriority w:val="9"/>
    <w:pPr>
      <w:spacing w:before="100" w:beforeAutospacing="1" w:after="100" w:afterAutospacing="1" w:line="240" w:lineRule="auto"/>
      <w:outlineLvl w:val="2"/>
    </w:pPr>
    <w:rPr>
      <w:rFonts w:eastAsia="Times New Roman" w:cs="Times New Roman"/>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13"/>
    <w:qFormat/>
    <w:uiPriority w:val="0"/>
    <w:pPr>
      <w:spacing w:after="0" w:line="240" w:lineRule="auto"/>
    </w:pPr>
    <w:rPr>
      <w:rFonts w:ascii=".VnTime" w:hAnsi=".VnTime" w:eastAsia="Times New Roman" w:cs="Times New Roman"/>
      <w:szCs w:val="20"/>
    </w:rPr>
  </w:style>
  <w:style w:type="paragraph" w:styleId="8">
    <w:name w:val="footer"/>
    <w:basedOn w:val="1"/>
    <w:link w:val="16"/>
    <w:unhideWhenUsed/>
    <w:qFormat/>
    <w:uiPriority w:val="99"/>
    <w:pPr>
      <w:tabs>
        <w:tab w:val="center" w:pos="4680"/>
        <w:tab w:val="right" w:pos="9360"/>
      </w:tabs>
      <w:spacing w:after="0" w:line="240" w:lineRule="auto"/>
    </w:pPr>
  </w:style>
  <w:style w:type="character" w:styleId="9">
    <w:name w:val="footnote reference"/>
    <w:basedOn w:val="5"/>
    <w:unhideWhenUsed/>
    <w:qFormat/>
    <w:uiPriority w:val="99"/>
    <w:rPr>
      <w:vertAlign w:val="superscript"/>
    </w:rPr>
  </w:style>
  <w:style w:type="paragraph" w:styleId="10">
    <w:name w:val="footnote text"/>
    <w:basedOn w:val="1"/>
    <w:link w:val="14"/>
    <w:unhideWhenUsed/>
    <w:qFormat/>
    <w:uiPriority w:val="99"/>
    <w:pPr>
      <w:spacing w:after="0" w:line="240" w:lineRule="auto"/>
    </w:pPr>
    <w:rPr>
      <w:rFonts w:eastAsia="Times New Roman" w:cs="Times New Roman"/>
      <w:sz w:val="20"/>
      <w:szCs w:val="20"/>
    </w:rPr>
  </w:style>
  <w:style w:type="paragraph" w:styleId="11">
    <w:name w:val="header"/>
    <w:basedOn w:val="1"/>
    <w:link w:val="15"/>
    <w:unhideWhenUsed/>
    <w:qFormat/>
    <w:uiPriority w:val="99"/>
    <w:pPr>
      <w:tabs>
        <w:tab w:val="center" w:pos="4680"/>
        <w:tab w:val="right" w:pos="9360"/>
      </w:tabs>
      <w:spacing w:after="0" w:line="240" w:lineRule="auto"/>
    </w:pPr>
  </w:style>
  <w:style w:type="paragraph" w:styleId="12">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customStyle="1" w:styleId="13">
    <w:name w:val="Body Text Char"/>
    <w:basedOn w:val="5"/>
    <w:link w:val="7"/>
    <w:qFormat/>
    <w:uiPriority w:val="0"/>
    <w:rPr>
      <w:rFonts w:ascii=".VnTime" w:hAnsi=".VnTime" w:eastAsia="Times New Roman" w:cs="Times New Roman"/>
      <w:szCs w:val="20"/>
    </w:rPr>
  </w:style>
  <w:style w:type="character" w:customStyle="1" w:styleId="14">
    <w:name w:val="Footnote Text Char"/>
    <w:basedOn w:val="5"/>
    <w:link w:val="10"/>
    <w:qFormat/>
    <w:uiPriority w:val="99"/>
    <w:rPr>
      <w:rFonts w:eastAsia="Times New Roman" w:cs="Times New Roman"/>
      <w:sz w:val="20"/>
      <w:szCs w:val="20"/>
    </w:rPr>
  </w:style>
  <w:style w:type="character" w:customStyle="1" w:styleId="15">
    <w:name w:val="Header Char"/>
    <w:basedOn w:val="5"/>
    <w:link w:val="11"/>
    <w:qFormat/>
    <w:uiPriority w:val="99"/>
  </w:style>
  <w:style w:type="character" w:customStyle="1" w:styleId="16">
    <w:name w:val="Footer Char"/>
    <w:basedOn w:val="5"/>
    <w:link w:val="8"/>
    <w:qFormat/>
    <w:uiPriority w:val="99"/>
  </w:style>
  <w:style w:type="character" w:customStyle="1" w:styleId="17">
    <w:name w:val="Heading 1 Char"/>
    <w:basedOn w:val="5"/>
    <w:link w:val="2"/>
    <w:qFormat/>
    <w:uiPriority w:val="9"/>
    <w:rPr>
      <w:rFonts w:eastAsia="Times New Roman" w:cs="Times New Roman"/>
      <w:b/>
      <w:bCs/>
      <w:kern w:val="36"/>
      <w:sz w:val="48"/>
      <w:szCs w:val="48"/>
    </w:rPr>
  </w:style>
  <w:style w:type="character" w:customStyle="1" w:styleId="18">
    <w:name w:val="Heading 2 Char"/>
    <w:basedOn w:val="5"/>
    <w:link w:val="3"/>
    <w:qFormat/>
    <w:uiPriority w:val="9"/>
    <w:rPr>
      <w:rFonts w:eastAsia="Times New Roman" w:cs="Times New Roman"/>
      <w:b/>
      <w:bCs/>
      <w:sz w:val="36"/>
      <w:szCs w:val="36"/>
    </w:rPr>
  </w:style>
  <w:style w:type="character" w:customStyle="1" w:styleId="19">
    <w:name w:val="Heading 3 Char"/>
    <w:basedOn w:val="5"/>
    <w:link w:val="4"/>
    <w:qFormat/>
    <w:uiPriority w:val="9"/>
    <w:rPr>
      <w:rFonts w:eastAsia="Times New Roman" w:cs="Times New Roman"/>
      <w:b/>
      <w:bCs/>
      <w:sz w:val="27"/>
      <w:szCs w:val="27"/>
    </w:rPr>
  </w:style>
  <w:style w:type="paragraph" w:customStyle="1" w:styleId="20">
    <w:name w:val="x1yc453h"/>
    <w:basedOn w:val="1"/>
    <w:qFormat/>
    <w:uiPriority w:val="0"/>
    <w:pPr>
      <w:spacing w:before="100" w:beforeAutospacing="1" w:after="100" w:afterAutospacing="1" w:line="240" w:lineRule="auto"/>
    </w:pPr>
    <w:rPr>
      <w:rFonts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4EE95B-D363-490F-9532-E2583A29552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2599</Words>
  <Characters>9298</Characters>
  <Lines>84</Lines>
  <Paragraphs>23</Paragraphs>
  <TotalTime>895</TotalTime>
  <ScaleCrop>false</ScaleCrop>
  <LinksUpToDate>false</LinksUpToDate>
  <CharactersWithSpaces>11855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2026-10-07T11:20:00Z</dcterms:created>
  <dc:creator>Admin</dc:creator>
  <cp:lastModifiedBy>user</cp:lastModifiedBy>
  <dcterms:modified xsi:type="dcterms:W3CDTF">2026-10-19T09:39:29Z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C31917EC2EA24590A9BB894200E4AAA9_13</vt:lpwstr>
  </property>
</Properties>
</file>