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286" w:type="dxa"/>
        <w:tblInd w:w="-284" w:type="dxa"/>
        <w:tblLayout w:type="autofit"/>
        <w:tblCellMar>
          <w:top w:w="0" w:type="dxa"/>
          <w:left w:w="108" w:type="dxa"/>
          <w:bottom w:w="0" w:type="dxa"/>
          <w:right w:w="108" w:type="dxa"/>
        </w:tblCellMar>
      </w:tblPr>
      <w:tblGrid>
        <w:gridCol w:w="3294"/>
        <w:gridCol w:w="5992"/>
      </w:tblGrid>
      <w:tr w14:paraId="226315ED">
        <w:tblPrEx>
          <w:tblCellMar>
            <w:top w:w="0" w:type="dxa"/>
            <w:left w:w="108" w:type="dxa"/>
            <w:bottom w:w="0" w:type="dxa"/>
            <w:right w:w="108" w:type="dxa"/>
          </w:tblCellMar>
        </w:tblPrEx>
        <w:trPr>
          <w:trHeight w:val="557" w:hRule="atLeast"/>
        </w:trPr>
        <w:tc>
          <w:tcPr>
            <w:tcW w:w="3294" w:type="dxa"/>
          </w:tcPr>
          <w:p w14:paraId="49F8EA0C">
            <w:pPr>
              <w:keepNext/>
              <w:jc w:val="center"/>
              <w:outlineLvl w:val="1"/>
              <w:rPr>
                <w:b/>
                <w:sz w:val="26"/>
                <w:szCs w:val="26"/>
              </w:rPr>
            </w:pPr>
            <w:bookmarkStart w:id="0" w:name="_GoBack"/>
            <w:bookmarkEnd w:id="0"/>
            <w:r>
              <w:rPr>
                <w:b/>
                <w:sz w:val="26"/>
                <w:szCs w:val="26"/>
              </w:rPr>
              <w:t>ỦY BAN NHÂN DÂN</w:t>
            </w:r>
          </w:p>
          <w:p w14:paraId="6D37BD7A">
            <w:pPr>
              <w:keepNext/>
              <w:jc w:val="center"/>
              <w:outlineLvl w:val="1"/>
              <w:rPr>
                <w:bCs/>
                <w:i/>
                <w:iCs/>
                <w:sz w:val="28"/>
                <w:szCs w:val="28"/>
              </w:rPr>
            </w:pPr>
            <w:r>
              <w:rPr>
                <w:b/>
                <w:sz w:val="26"/>
                <w:szCs w:val="26"/>
              </w:rPr>
              <w:t>TỈNH HÀ TĨNH</w:t>
            </w:r>
          </w:p>
        </w:tc>
        <w:tc>
          <w:tcPr>
            <w:tcW w:w="5992" w:type="dxa"/>
          </w:tcPr>
          <w:p w14:paraId="0E6CD979">
            <w:pPr>
              <w:keepNext/>
              <w:jc w:val="center"/>
              <w:outlineLvl w:val="1"/>
              <w:rPr>
                <w:b/>
                <w:bCs/>
                <w:sz w:val="26"/>
              </w:rPr>
            </w:pPr>
            <w:r>
              <w:rPr>
                <w:b/>
                <w:bCs/>
                <w:sz w:val="26"/>
              </w:rPr>
              <w:t>CỘNG HÒA XÃ HỘI CHỦ NGHĨA VIỆT NAM</w:t>
            </w:r>
          </w:p>
          <w:p w14:paraId="00DFBD05">
            <w:pPr>
              <w:keepNext/>
              <w:jc w:val="center"/>
              <w:outlineLvl w:val="1"/>
              <w:rPr>
                <w:b/>
                <w:bCs/>
                <w:i/>
                <w:iCs/>
                <w:sz w:val="2"/>
                <w:szCs w:val="28"/>
              </w:rPr>
            </w:pPr>
            <w:r>
              <w:rPr>
                <w:b/>
                <w:bCs/>
                <w:sz w:val="28"/>
                <w:szCs w:val="26"/>
              </w:rPr>
              <w:t>Độc lập - Tự do - Hạnh phúc</w:t>
            </w:r>
          </w:p>
        </w:tc>
      </w:tr>
      <w:tr w14:paraId="2F6AFBF1">
        <w:tblPrEx>
          <w:tblCellMar>
            <w:top w:w="0" w:type="dxa"/>
            <w:left w:w="108" w:type="dxa"/>
            <w:bottom w:w="0" w:type="dxa"/>
            <w:right w:w="108" w:type="dxa"/>
          </w:tblCellMar>
        </w:tblPrEx>
        <w:trPr>
          <w:trHeight w:val="239" w:hRule="atLeast"/>
        </w:trPr>
        <w:tc>
          <w:tcPr>
            <w:tcW w:w="3294" w:type="dxa"/>
          </w:tcPr>
          <w:p w14:paraId="4E4CE5E9">
            <w:pPr>
              <w:keepNext/>
              <w:spacing w:before="200"/>
              <w:jc w:val="center"/>
              <w:outlineLvl w:val="1"/>
              <w:rPr>
                <w:b/>
                <w:sz w:val="26"/>
                <w:szCs w:val="26"/>
              </w:rPr>
            </w:pPr>
            <w:r>
              <w:rPr>
                <w:bCs/>
                <w:sz w:val="26"/>
                <w:szCs w:val="28"/>
              </w:rPr>
              <mc:AlternateContent>
                <mc:Choice Requires="wps">
                  <w:drawing>
                    <wp:anchor distT="0" distB="0" distL="114300" distR="114300" simplePos="0" relativeHeight="251660288" behindDoc="0" locked="0" layoutInCell="1" allowOverlap="1">
                      <wp:simplePos x="0" y="0"/>
                      <wp:positionH relativeFrom="column">
                        <wp:posOffset>617220</wp:posOffset>
                      </wp:positionH>
                      <wp:positionV relativeFrom="paragraph">
                        <wp:posOffset>11430</wp:posOffset>
                      </wp:positionV>
                      <wp:extent cx="612775" cy="0"/>
                      <wp:effectExtent l="12700" t="10795" r="12700" b="8255"/>
                      <wp:wrapNone/>
                      <wp:docPr id="503065550" name="Line 6"/>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round/>
                              </a:ln>
                            </wps:spPr>
                            <wps:bodyPr/>
                          </wps:wsp>
                        </a:graphicData>
                      </a:graphic>
                    </wp:anchor>
                  </w:drawing>
                </mc:Choice>
                <mc:Fallback>
                  <w:pict>
                    <v:line id="Line 6" o:spid="_x0000_s1026" o:spt="20" style="position:absolute;left:0pt;margin-left:48.6pt;margin-top:0.9pt;height:0pt;width:48.25pt;z-index:251660288;mso-width-relative:page;mso-height-relative:page;" filled="f" stroked="t" coordsize="21600,21600" o:gfxdata="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07+qj9MAAAAGAQAADwAAAAAAAAABACAAAAAiAAAAZHJz&#10;L2Rvd25yZXYueG1sUEsBAhQAFAAAAAgAh07iQKapiq/QAQAApgMAAA4AAAAAAAAAAQAgAAAAIgEA&#10;AGRycy9lMm9Eb2MueG1sUEsFBgAAAAAGAAYAWQEAAGQFAAAAAA==&#10;">
                      <v:fill on="f" focussize="0,0"/>
                      <v:stroke color="#000000" joinstyle="round"/>
                      <v:imagedata o:title=""/>
                      <o:lock v:ext="edit" aspectratio="f"/>
                    </v:line>
                  </w:pict>
                </mc:Fallback>
              </mc:AlternateContent>
            </w:r>
            <w:r>
              <w:rPr>
                <w:bCs/>
                <w:sz w:val="26"/>
                <w:szCs w:val="28"/>
              </w:rPr>
              <w:t>Số:           /2026/QĐ-UBND</w:t>
            </w:r>
          </w:p>
        </w:tc>
        <w:tc>
          <w:tcPr>
            <w:tcW w:w="5992" w:type="dxa"/>
          </w:tcPr>
          <w:p w14:paraId="771D058D">
            <w:pPr>
              <w:keepNext/>
              <w:spacing w:before="200"/>
              <w:jc w:val="center"/>
              <w:outlineLvl w:val="1"/>
              <w:rPr>
                <w:b/>
                <w:bCs/>
              </w:rPr>
            </w:pPr>
            <w:r>
              <w:rPr>
                <w:bCs/>
                <w:sz w:val="28"/>
                <w:szCs w:val="28"/>
              </w:rPr>
              <mc:AlternateContent>
                <mc:Choice Requires="wps">
                  <w:drawing>
                    <wp:anchor distT="0" distB="0" distL="114300" distR="114300" simplePos="0" relativeHeight="251660288" behindDoc="0" locked="0" layoutInCell="1" allowOverlap="1">
                      <wp:simplePos x="0" y="0"/>
                      <wp:positionH relativeFrom="column">
                        <wp:posOffset>802640</wp:posOffset>
                      </wp:positionH>
                      <wp:positionV relativeFrom="paragraph">
                        <wp:posOffset>29845</wp:posOffset>
                      </wp:positionV>
                      <wp:extent cx="2080260" cy="0"/>
                      <wp:effectExtent l="10795" t="10160" r="13970" b="8890"/>
                      <wp:wrapNone/>
                      <wp:docPr id="1388225394" name="Line 7"/>
                      <wp:cNvGraphicFramePr/>
                      <a:graphic xmlns:a="http://schemas.openxmlformats.org/drawingml/2006/main">
                        <a:graphicData uri="http://schemas.microsoft.com/office/word/2010/wordprocessingShape">
                          <wps:wsp>
                            <wps:cNvCnPr>
                              <a:cxnSpLocks noChangeShapeType="1"/>
                            </wps:cNvCnPr>
                            <wps:spPr bwMode="auto">
                              <a:xfrm>
                                <a:off x="0" y="0"/>
                                <a:ext cx="2080260" cy="0"/>
                              </a:xfrm>
                              <a:prstGeom prst="line">
                                <a:avLst/>
                              </a:prstGeom>
                              <a:noFill/>
                              <a:ln w="9525">
                                <a:solidFill>
                                  <a:srgbClr val="000000"/>
                                </a:solidFill>
                                <a:round/>
                              </a:ln>
                            </wps:spPr>
                            <wps:bodyPr/>
                          </wps:wsp>
                        </a:graphicData>
                      </a:graphic>
                    </wp:anchor>
                  </w:drawing>
                </mc:Choice>
                <mc:Fallback>
                  <w:pict>
                    <v:line id="Line 7" o:spid="_x0000_s1026" o:spt="20" style="position:absolute;left:0pt;margin-left:63.2pt;margin-top:2.35pt;height:0pt;width:163.8pt;z-index:251660288;mso-width-relative:page;mso-height-relative:page;" filled="f" stroked="t" coordsize="21600,21600" o:gfxdata="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&#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ZMZVX1AAAAAcBAAAPAAAAAAAAAAEAIAAAACIAAABk&#10;cnMvZG93bnJldi54bWxQSwECFAAUAAAACACHTuJACyYQidEBAACoAwAADgAAAAAAAAABACAAAAAj&#10;AQAAZHJzL2Uyb0RvYy54bWxQSwUGAAAAAAYABgBZAQAAZgUAAAAA&#10;">
                      <v:fill on="f" focussize="0,0"/>
                      <v:stroke color="#000000" joinstyle="round"/>
                      <v:imagedata o:title=""/>
                      <o:lock v:ext="edit" aspectratio="f"/>
                    </v:line>
                  </w:pict>
                </mc:Fallback>
              </mc:AlternateContent>
            </w:r>
            <w:r>
              <w:rPr>
                <w:i/>
                <w:sz w:val="28"/>
                <w:szCs w:val="28"/>
              </w:rPr>
              <w:t xml:space="preserve">            Hà Tĩnh, ngày        tháng      năm 2026</w:t>
            </w:r>
          </w:p>
        </w:tc>
      </w:tr>
    </w:tbl>
    <w:p w14:paraId="365020FF">
      <w:pPr>
        <w:jc w:val="center"/>
        <w:rPr>
          <w:b/>
          <w:sz w:val="16"/>
          <w:szCs w:val="16"/>
          <w:lang w:val="vi-V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tblGrid>
      <w:tr w14:paraId="3BE8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093" w:type="dxa"/>
            <w:vAlign w:val="center"/>
          </w:tcPr>
          <w:p w14:paraId="3B0EA550">
            <w:pPr>
              <w:jc w:val="center"/>
              <w:rPr>
                <w:b/>
                <w:color w:val="FF0000"/>
                <w:sz w:val="30"/>
                <w:szCs w:val="16"/>
              </w:rPr>
            </w:pPr>
            <w:r>
              <w:rPr>
                <w:b/>
                <w:sz w:val="30"/>
                <w:szCs w:val="16"/>
              </w:rPr>
              <w:t>DỰ THẢO</w:t>
            </w:r>
          </w:p>
        </w:tc>
      </w:tr>
    </w:tbl>
    <w:p w14:paraId="6AB18CF4">
      <w:pPr>
        <w:rPr>
          <w:b/>
          <w:sz w:val="2"/>
          <w:szCs w:val="16"/>
        </w:rPr>
      </w:pPr>
    </w:p>
    <w:p w14:paraId="38794FC6">
      <w:pPr>
        <w:jc w:val="center"/>
        <w:rPr>
          <w:b/>
          <w:sz w:val="28"/>
          <w:szCs w:val="28"/>
        </w:rPr>
      </w:pPr>
      <w:r>
        <w:rPr>
          <w:b/>
          <w:sz w:val="28"/>
          <w:szCs w:val="28"/>
        </w:rPr>
        <w:t>QUYẾT ĐỊNH</w:t>
      </w:r>
    </w:p>
    <w:p w14:paraId="20F61E52">
      <w:pPr>
        <w:jc w:val="center"/>
        <w:rPr>
          <w:rFonts w:ascii="Times New Roman Bold" w:hAnsi="Times New Roman Bold"/>
          <w:b/>
          <w:spacing w:val="-6"/>
          <w:sz w:val="28"/>
          <w:szCs w:val="28"/>
        </w:rPr>
      </w:pPr>
      <w:r>
        <w:rPr>
          <w:rFonts w:ascii="Times New Roman Bold" w:hAnsi="Times New Roman Bold"/>
          <w:b/>
          <w:spacing w:val="-6"/>
          <w:sz w:val="28"/>
          <w:szCs w:val="28"/>
        </w:rPr>
        <w:t xml:space="preserve">Phân cấp cho Sở Nội vụ thực hiện quyết định giao nhiệm vụ, đặt hàng cung cấp sản phẩm, dịch vụ công cho các đơn vị sự nghiệp công lập trực thuộc Sở Nội vụ từ nguồn kinh phí chi thường xuyên </w:t>
      </w:r>
    </w:p>
    <w:p w14:paraId="1CF5FCE5">
      <w:pPr>
        <w:jc w:val="center"/>
        <w:rPr>
          <w:b/>
          <w:sz w:val="28"/>
          <w:szCs w:val="28"/>
        </w:rPr>
      </w:pPr>
      <w:r>
        <w:rPr>
          <w:b/>
          <w:sz w:val="28"/>
          <w:szCs w:val="28"/>
        </w:rPr>
        <mc:AlternateContent>
          <mc:Choice Requires="wps">
            <w:drawing>
              <wp:anchor distT="0" distB="0" distL="114300" distR="114300" simplePos="0" relativeHeight="251659264" behindDoc="0" locked="0" layoutInCell="1" allowOverlap="1">
                <wp:simplePos x="0" y="0"/>
                <wp:positionH relativeFrom="column">
                  <wp:posOffset>2166620</wp:posOffset>
                </wp:positionH>
                <wp:positionV relativeFrom="paragraph">
                  <wp:posOffset>48260</wp:posOffset>
                </wp:positionV>
                <wp:extent cx="1457960" cy="635"/>
                <wp:effectExtent l="0" t="0" r="27940" b="37465"/>
                <wp:wrapNone/>
                <wp:docPr id="1251529753" name="AutoShape 5"/>
                <wp:cNvGraphicFramePr/>
                <a:graphic xmlns:a="http://schemas.openxmlformats.org/drawingml/2006/main">
                  <a:graphicData uri="http://schemas.microsoft.com/office/word/2010/wordprocessingShape">
                    <wps:wsp>
                      <wps:cNvCnPr>
                        <a:cxnSpLocks noChangeShapeType="1"/>
                      </wps:cNvCnPr>
                      <wps:spPr bwMode="auto">
                        <a:xfrm>
                          <a:off x="0" y="0"/>
                          <a:ext cx="1457960" cy="635"/>
                        </a:xfrm>
                        <a:prstGeom prst="straightConnector1">
                          <a:avLst/>
                        </a:prstGeom>
                        <a:noFill/>
                        <a:ln w="9525">
                          <a:solidFill>
                            <a:srgbClr val="000000"/>
                          </a:solidFill>
                          <a:round/>
                        </a:ln>
                      </wps:spPr>
                      <wps:bodyPr/>
                    </wps:wsp>
                  </a:graphicData>
                </a:graphic>
              </wp:anchor>
            </w:drawing>
          </mc:Choice>
          <mc:Fallback>
            <w:pict>
              <v:shape id="AutoShape 5" o:spid="_x0000_s1026" o:spt="32" type="#_x0000_t32" style="position:absolute;left:0pt;margin-left:170.6pt;margin-top:3.8pt;height:0.05pt;width:114.8pt;z-index:251659264;mso-width-relative:page;mso-height-relative:page;" filled="f" stroked="t" coordsize="21600,21600" o:gfxdata="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K3hxS1gAAAAcBAAAP&#10;AAAAAAAAAAEAIAAAACIAAABkcnMvZG93bnJldi54bWxQSwECFAAUAAAACACHTuJAqmi35uEBAAC9&#10;AwAADgAAAAAAAAABACAAAAAlAQAAZHJzL2Uyb0RvYy54bWxQSwUGAAAAAAYABgBZAQAAeAUAAAAA&#10;">
                <v:fill on="f" focussize="0,0"/>
                <v:stroke color="#000000" joinstyle="round"/>
                <v:imagedata o:title=""/>
                <o:lock v:ext="edit" aspectratio="f"/>
              </v:shape>
            </w:pict>
          </mc:Fallback>
        </mc:AlternateContent>
      </w:r>
    </w:p>
    <w:p w14:paraId="23F38D26">
      <w:pPr>
        <w:spacing w:before="120" w:line="264" w:lineRule="auto"/>
        <w:ind w:firstLine="624"/>
        <w:rPr>
          <w:i/>
          <w:iCs/>
          <w:color w:val="000000"/>
          <w:sz w:val="28"/>
          <w:szCs w:val="28"/>
        </w:rPr>
      </w:pPr>
      <w:r>
        <w:rPr>
          <w:i/>
          <w:iCs/>
          <w:sz w:val="28"/>
          <w:szCs w:val="28"/>
          <w:lang w:val="vi-VN" w:eastAsia="vi-VN" w:bidi="vi-VN"/>
        </w:rPr>
        <w:t>Căn cứ</w:t>
      </w:r>
      <w:r>
        <w:rPr>
          <w:i/>
          <w:iCs/>
          <w:sz w:val="28"/>
          <w:szCs w:val="28"/>
          <w:lang w:eastAsia="vi-VN" w:bidi="vi-VN"/>
        </w:rPr>
        <w:t xml:space="preserve"> Luật Tổ chức chính quyền địa phương</w:t>
      </w:r>
      <w:r>
        <w:rPr>
          <w:i/>
          <w:iCs/>
          <w:sz w:val="28"/>
          <w:szCs w:val="28"/>
          <w:lang w:val="vi-VN" w:eastAsia="vi-VN" w:bidi="vi-VN"/>
        </w:rPr>
        <w:t xml:space="preserve"> số 72/2025/QH15</w:t>
      </w:r>
      <w:r>
        <w:rPr>
          <w:i/>
          <w:iCs/>
          <w:sz w:val="28"/>
          <w:szCs w:val="28"/>
          <w:lang w:eastAsia="vi-VN" w:bidi="vi-VN"/>
        </w:rPr>
        <w:t>;</w:t>
      </w:r>
    </w:p>
    <w:p w14:paraId="179047E8">
      <w:pPr>
        <w:pStyle w:val="6"/>
        <w:spacing w:before="120" w:after="0" w:line="264" w:lineRule="auto"/>
        <w:ind w:firstLine="624"/>
        <w:jc w:val="both"/>
        <w:rPr>
          <w:i/>
          <w:iCs/>
          <w:color w:val="000000"/>
          <w:sz w:val="28"/>
          <w:szCs w:val="28"/>
          <w:shd w:val="clear" w:color="auto" w:fill="FFFFFF"/>
          <w:lang w:val="vi-VN"/>
        </w:rPr>
      </w:pPr>
      <w:r>
        <w:rPr>
          <w:i/>
          <w:iCs/>
          <w:sz w:val="28"/>
          <w:szCs w:val="28"/>
          <w:lang w:val="vi-VN" w:eastAsia="vi-VN" w:bidi="vi-VN"/>
        </w:rPr>
        <w:t xml:space="preserve">Căn cứ </w:t>
      </w:r>
      <w:r>
        <w:rPr>
          <w:i/>
          <w:iCs/>
          <w:sz w:val="28"/>
          <w:szCs w:val="28"/>
          <w:lang w:eastAsia="vi-VN" w:bidi="vi-VN"/>
        </w:rPr>
        <w:t xml:space="preserve">Luật Ban hành văn bản quy phạm pháp luật </w:t>
      </w:r>
      <w:r>
        <w:rPr>
          <w:i/>
          <w:iCs/>
          <w:sz w:val="28"/>
          <w:szCs w:val="28"/>
          <w:lang w:val="vi-VN" w:eastAsia="vi-VN" w:bidi="vi-VN"/>
        </w:rPr>
        <w:t>số 64/2025/QH15 được</w:t>
      </w:r>
      <w:r>
        <w:rPr>
          <w:i/>
          <w:iCs/>
          <w:sz w:val="28"/>
          <w:szCs w:val="28"/>
          <w:lang w:eastAsia="vi-VN" w:bidi="vi-VN"/>
        </w:rPr>
        <w:t xml:space="preserve"> sửa đổi, bổ sung </w:t>
      </w:r>
      <w:r>
        <w:rPr>
          <w:i/>
          <w:iCs/>
          <w:color w:val="000000"/>
          <w:sz w:val="28"/>
          <w:szCs w:val="28"/>
          <w:shd w:val="clear" w:color="auto" w:fill="FFFFFF"/>
          <w:lang w:val="vi-VN"/>
        </w:rPr>
        <w:t>bởi Luật số 87/2025/QH15;</w:t>
      </w:r>
    </w:p>
    <w:p w14:paraId="16BAD3FE">
      <w:pPr>
        <w:spacing w:before="120" w:line="264" w:lineRule="auto"/>
        <w:ind w:firstLine="720"/>
        <w:jc w:val="both"/>
        <w:rPr>
          <w:i/>
          <w:iCs/>
          <w:sz w:val="28"/>
          <w:szCs w:val="28"/>
        </w:rPr>
      </w:pPr>
      <w:r>
        <w:rPr>
          <w:rStyle w:val="21"/>
          <w:i/>
          <w:iCs/>
        </w:rPr>
        <w:t xml:space="preserve">Căn cứ Nghị định </w:t>
      </w:r>
      <w:r>
        <w:rPr>
          <w:i/>
          <w:iCs/>
          <w:color w:val="000000"/>
          <w:sz w:val="28"/>
          <w:szCs w:val="28"/>
          <w:shd w:val="clear" w:color="auto" w:fill="FFFFFF"/>
          <w:lang w:val="en"/>
        </w:rPr>
        <w:t xml:space="preserve">số  </w:t>
      </w:r>
      <w:r>
        <w:rPr>
          <w:i/>
          <w:iCs/>
          <w:sz w:val="28"/>
          <w:szCs w:val="28"/>
        </w:rPr>
        <w:t xml:space="preserve">32/2019/NĐ-CP của Chính phủ quy định giao nhiệm vụ, đặt hàng hoặc đấu thầu cung cấp sản phẩm, dịch vụ công sử dụng ngân sách nhà nước từ nguồn kinh phí chi thường xuyên; </w:t>
      </w:r>
    </w:p>
    <w:p w14:paraId="6986F146">
      <w:pPr>
        <w:spacing w:before="120" w:line="264" w:lineRule="auto"/>
        <w:ind w:firstLine="720"/>
        <w:jc w:val="both"/>
        <w:rPr>
          <w:rStyle w:val="21"/>
          <w:b/>
          <w:bCs/>
          <w:i/>
          <w:iCs/>
        </w:rPr>
      </w:pPr>
      <w:r>
        <w:rPr>
          <w:i/>
          <w:iCs/>
          <w:sz w:val="28"/>
          <w:szCs w:val="28"/>
        </w:rPr>
        <w:t xml:space="preserve">Căn cứ Nghị định 78/2025/NĐ-CP quy định chi tiết một số điều và biện pháp để tổ chức, hướng dẫn thi hành Luật Ban hành văn bản quy phạm pháp luật được sửa đổi, bổ sung bởi Nghị định số 187/2025/NĐ-CP; </w:t>
      </w:r>
    </w:p>
    <w:p w14:paraId="78E2ED68">
      <w:pPr>
        <w:spacing w:before="120" w:line="264" w:lineRule="auto"/>
        <w:ind w:firstLine="720"/>
        <w:jc w:val="both"/>
        <w:rPr>
          <w:rStyle w:val="21"/>
          <w:b/>
          <w:bCs/>
          <w:i/>
        </w:rPr>
      </w:pPr>
      <w:r>
        <w:rPr>
          <w:i/>
          <w:sz w:val="28"/>
          <w:szCs w:val="28"/>
          <w:lang w:val="vi-VN" w:eastAsia="vi-VN" w:bidi="vi-VN"/>
        </w:rPr>
        <w:t xml:space="preserve">Theo đề nghị của </w:t>
      </w:r>
      <w:r>
        <w:rPr>
          <w:i/>
          <w:sz w:val="28"/>
          <w:szCs w:val="28"/>
          <w:lang w:eastAsia="vi-VN" w:bidi="vi-VN"/>
        </w:rPr>
        <w:t>Giám đốc Sở Nội vụ tại Tờ trình số     /TTr-SNV</w:t>
      </w:r>
      <w:r>
        <w:rPr>
          <w:i/>
          <w:sz w:val="28"/>
          <w:szCs w:val="28"/>
          <w:lang w:val="vi-VN" w:eastAsia="vi-VN" w:bidi="vi-VN"/>
        </w:rPr>
        <w:t xml:space="preserve"> ngày       tháng   năm 2026 </w:t>
      </w:r>
      <w:r>
        <w:rPr>
          <w:i/>
          <w:sz w:val="28"/>
          <w:szCs w:val="28"/>
          <w:lang w:eastAsia="vi-VN" w:bidi="vi-VN"/>
        </w:rPr>
        <w:t>kèm theo Báo cáo thẩm định số     /BC-STP ngày     tháng  năm 2026 của Sở Tư pháp; ý kiến thống nhất của các Thành viên Ủy ban nhân dân tỉnh và Ban Thường vụ Đảng ủy Ủy ban nhân dân tỉnh (bằng phiếu biểu quyết).</w:t>
      </w:r>
    </w:p>
    <w:p w14:paraId="34BAACF6">
      <w:pPr>
        <w:spacing w:before="120" w:line="264" w:lineRule="auto"/>
        <w:ind w:firstLine="720"/>
        <w:jc w:val="both"/>
        <w:rPr>
          <w:i/>
          <w:sz w:val="28"/>
          <w:szCs w:val="28"/>
          <w:lang w:val="da-DK"/>
        </w:rPr>
      </w:pPr>
      <w:r>
        <w:rPr>
          <w:rStyle w:val="21"/>
          <w:i/>
        </w:rPr>
        <w:t xml:space="preserve">Ủy ban nhân dân tỉnh ban hành Quyết định </w:t>
      </w:r>
      <w:r>
        <w:rPr>
          <w:bCs/>
          <w:i/>
          <w:iCs/>
          <w:color w:val="000000"/>
          <w:sz w:val="28"/>
          <w:szCs w:val="28"/>
        </w:rPr>
        <w:t>phân cấp cho Sở Nội vụ thực hiện quyết định giao nhiệm vụ, đặt hàng cung cấp sản phẩm, dịch vụ công cho các đơn vị sự nghiệp công lập trực thuộc Sở Nội vụ từ nguồn kinh phí chi thường xuyên</w:t>
      </w:r>
      <w:r>
        <w:rPr>
          <w:rStyle w:val="21"/>
          <w:bCs/>
          <w:i/>
          <w:iCs/>
        </w:rPr>
        <w:t>.</w:t>
      </w:r>
    </w:p>
    <w:p w14:paraId="788A2EB5">
      <w:pPr>
        <w:spacing w:before="120" w:line="264" w:lineRule="auto"/>
        <w:ind w:firstLine="720"/>
        <w:jc w:val="both"/>
        <w:rPr>
          <w:b/>
          <w:sz w:val="28"/>
          <w:szCs w:val="28"/>
        </w:rPr>
      </w:pPr>
      <w:r>
        <w:rPr>
          <w:b/>
          <w:sz w:val="28"/>
          <w:szCs w:val="28"/>
        </w:rPr>
        <w:t>Điều 1. Phạm vi điều chỉnh</w:t>
      </w:r>
    </w:p>
    <w:p w14:paraId="682ED1AF">
      <w:pPr>
        <w:spacing w:before="120" w:line="264" w:lineRule="auto"/>
        <w:ind w:firstLine="720"/>
        <w:jc w:val="both"/>
        <w:rPr>
          <w:sz w:val="28"/>
          <w:szCs w:val="28"/>
        </w:rPr>
      </w:pPr>
      <w:r>
        <w:rPr>
          <w:sz w:val="28"/>
          <w:szCs w:val="28"/>
        </w:rPr>
        <w:t>Quyết định này quy định về phân cấp thẩm quyền quyết định giao nhiệm vụ, đặt hàng cung cấp sản phẩm, dịch vụ công sử dụng ngân sách nhà nước từ nguồn kinh phí chi thường xuyên cho các đơn vị sự nghiệp công lập trực thuộc Sở Nội vụ theo quy định tại Nghị định số 32/2019/NĐ-CP ngày 10/4/2019 của Chính phủ quy định giao nhiệm vụ, đặt hàng hoặc đấu thầu cung cấp sản phẩm, dịch vụ công sử dụng ngân sách nhà nước từ nguồn kinh phí chi thường xuyên.</w:t>
      </w:r>
    </w:p>
    <w:p w14:paraId="672F1132">
      <w:pPr>
        <w:spacing w:before="120" w:line="264" w:lineRule="auto"/>
        <w:ind w:firstLine="720"/>
        <w:jc w:val="both"/>
        <w:rPr>
          <w:b/>
          <w:sz w:val="28"/>
          <w:szCs w:val="28"/>
        </w:rPr>
      </w:pPr>
      <w:r>
        <w:rPr>
          <w:b/>
          <w:sz w:val="28"/>
          <w:szCs w:val="28"/>
        </w:rPr>
        <w:t xml:space="preserve">Điều 2. Đối tượng áp dụng </w:t>
      </w:r>
    </w:p>
    <w:p w14:paraId="13B39737">
      <w:pPr>
        <w:spacing w:before="120" w:line="264" w:lineRule="auto"/>
        <w:ind w:firstLine="720"/>
        <w:jc w:val="both"/>
        <w:rPr>
          <w:sz w:val="28"/>
          <w:szCs w:val="28"/>
        </w:rPr>
      </w:pPr>
      <w:r>
        <w:rPr>
          <w:sz w:val="28"/>
          <w:szCs w:val="28"/>
        </w:rPr>
        <w:t>1. Sở Nội vụ, các đơn vị sự nghiệp công lập trực thuộc Sở Nội vụ.</w:t>
      </w:r>
    </w:p>
    <w:p w14:paraId="6BBCC99B">
      <w:pPr>
        <w:spacing w:before="120" w:line="264" w:lineRule="auto"/>
        <w:ind w:firstLine="720"/>
        <w:jc w:val="both"/>
        <w:rPr>
          <w:b/>
          <w:iCs/>
          <w:sz w:val="28"/>
          <w:szCs w:val="28"/>
        </w:rPr>
      </w:pPr>
      <w:r>
        <w:rPr>
          <w:sz w:val="28"/>
          <w:szCs w:val="28"/>
        </w:rPr>
        <w:t>2. Các cơ quan, tổ chức, cá nhân có liên quan đến thực hiện quyết định giao nhiệm vụ, đặt hàng cung cấp sản phẩm, dịch vụ công sử dụng ngân sách nhà nước từ nguồn kinh phí chi thường xuyên.</w:t>
      </w:r>
    </w:p>
    <w:p w14:paraId="448F3B17">
      <w:pPr>
        <w:spacing w:before="120" w:line="264" w:lineRule="auto"/>
        <w:ind w:firstLine="720"/>
        <w:jc w:val="both"/>
        <w:rPr>
          <w:b/>
          <w:iCs/>
          <w:sz w:val="28"/>
          <w:szCs w:val="28"/>
        </w:rPr>
      </w:pPr>
      <w:r>
        <w:rPr>
          <w:b/>
          <w:iCs/>
          <w:sz w:val="28"/>
          <w:szCs w:val="28"/>
        </w:rPr>
        <w:t>Điều 3</w:t>
      </w:r>
      <w:r>
        <w:rPr>
          <w:b/>
          <w:iCs/>
          <w:sz w:val="28"/>
          <w:szCs w:val="28"/>
          <w:lang w:val="vi-VN"/>
        </w:rPr>
        <w:t>.</w:t>
      </w:r>
      <w:r>
        <w:rPr>
          <w:iCs/>
          <w:sz w:val="28"/>
          <w:szCs w:val="28"/>
          <w:lang w:val="vi-VN"/>
        </w:rPr>
        <w:t xml:space="preserve"> </w:t>
      </w:r>
      <w:r>
        <w:rPr>
          <w:b/>
          <w:iCs/>
          <w:sz w:val="28"/>
          <w:szCs w:val="28"/>
        </w:rPr>
        <w:t>Nội dung phân cấp</w:t>
      </w:r>
    </w:p>
    <w:p w14:paraId="1F27E2BD">
      <w:pPr>
        <w:pStyle w:val="23"/>
        <w:tabs>
          <w:tab w:val="left" w:pos="993"/>
        </w:tabs>
        <w:spacing w:before="120" w:line="264" w:lineRule="auto"/>
        <w:ind w:left="0" w:firstLine="720"/>
        <w:jc w:val="both"/>
        <w:rPr>
          <w:iCs/>
          <w:sz w:val="28"/>
          <w:szCs w:val="28"/>
        </w:rPr>
      </w:pPr>
      <w:r>
        <w:rPr>
          <w:iCs/>
          <w:sz w:val="28"/>
          <w:szCs w:val="28"/>
        </w:rPr>
        <w:t xml:space="preserve">1. Nội dung phân cấp: phân cấp cho Sở Nội vụ quyết định giao nhiệm vụ, đặt hàng cung cấp sản phẩm, dịch vụ công sử dụng ngân sách nhà nước từ nguồn kinh phí chi thường xuyên lĩnh vực Nội vụ </w:t>
      </w:r>
      <w:r>
        <w:rPr>
          <w:iCs/>
          <w:sz w:val="28"/>
          <w:szCs w:val="28"/>
          <w:lang w:val="da-DK"/>
        </w:rPr>
        <w:t xml:space="preserve">cho </w:t>
      </w:r>
      <w:r>
        <w:rPr>
          <w:iCs/>
          <w:sz w:val="28"/>
          <w:szCs w:val="28"/>
        </w:rPr>
        <w:t>các đơn vị sự nghiệp công lập trực thuộc Sở Nội vụ.</w:t>
      </w:r>
    </w:p>
    <w:p w14:paraId="58321C8A">
      <w:pPr>
        <w:spacing w:before="120" w:line="264" w:lineRule="auto"/>
        <w:jc w:val="both"/>
        <w:rPr>
          <w:iCs/>
          <w:sz w:val="28"/>
          <w:szCs w:val="28"/>
        </w:rPr>
      </w:pPr>
      <w:r>
        <w:rPr>
          <w:b/>
          <w:bCs/>
          <w:iCs/>
          <w:sz w:val="28"/>
          <w:szCs w:val="28"/>
        </w:rPr>
        <w:tab/>
      </w:r>
      <w:r>
        <w:rPr>
          <w:iCs/>
          <w:sz w:val="28"/>
          <w:szCs w:val="28"/>
        </w:rPr>
        <w:t xml:space="preserve">2. Lĩnh vực phân cấp:  </w:t>
      </w:r>
    </w:p>
    <w:p w14:paraId="6AA7440E">
      <w:pPr>
        <w:tabs>
          <w:tab w:val="left" w:pos="709"/>
        </w:tabs>
        <w:spacing w:before="120" w:line="264" w:lineRule="auto"/>
        <w:ind w:firstLine="709"/>
        <w:contextualSpacing/>
        <w:jc w:val="both"/>
        <w:rPr>
          <w:sz w:val="28"/>
          <w:szCs w:val="28"/>
        </w:rPr>
      </w:pPr>
      <w:r>
        <w:rPr>
          <w:iCs/>
          <w:sz w:val="28"/>
          <w:szCs w:val="28"/>
        </w:rPr>
        <w:tab/>
      </w:r>
      <w:r>
        <w:rPr>
          <w:iCs/>
          <w:sz w:val="28"/>
          <w:szCs w:val="28"/>
        </w:rPr>
        <w:t xml:space="preserve">- Lĩnh vực người có công: </w:t>
      </w:r>
      <w:r>
        <w:rPr>
          <w:iCs/>
          <w:color w:val="333333"/>
          <w:sz w:val="28"/>
          <w:szCs w:val="28"/>
        </w:rPr>
        <w:t xml:space="preserve">dịch vụ điều dưỡng luân phiên người có công; </w:t>
      </w:r>
      <w:r>
        <w:rPr>
          <w:sz w:val="28"/>
          <w:szCs w:val="28"/>
        </w:rPr>
        <w:t>Dịch vụ nuôi dưỡng, điều dưỡng thương bệnh binh, người có công.</w:t>
      </w:r>
    </w:p>
    <w:p w14:paraId="12D2C49B">
      <w:pPr>
        <w:tabs>
          <w:tab w:val="left" w:pos="709"/>
        </w:tabs>
        <w:spacing w:before="120" w:line="264" w:lineRule="auto"/>
        <w:ind w:firstLine="709"/>
        <w:contextualSpacing/>
        <w:jc w:val="both"/>
        <w:rPr>
          <w:color w:val="000000" w:themeColor="text1"/>
          <w:sz w:val="28"/>
          <w:szCs w:val="28"/>
          <w14:textFill>
            <w14:solidFill>
              <w14:schemeClr w14:val="tx1"/>
            </w14:solidFill>
          </w14:textFill>
        </w:rPr>
      </w:pPr>
      <w:r>
        <w:rPr>
          <w:sz w:val="28"/>
          <w:szCs w:val="28"/>
        </w:rPr>
        <w:t xml:space="preserve">- Lĩnh vực việc làm: </w:t>
      </w:r>
      <w:r>
        <w:rPr>
          <w:color w:val="333333"/>
          <w:sz w:val="28"/>
          <w:szCs w:val="28"/>
        </w:rPr>
        <w:t xml:space="preserve">dịch vụ tư vấn, giới thiệu việc làm, định hướng nghề nghiệp cho người lao động; dịch vụ thu thập, phân tích, dự báo và cung ứng thông tin thị trường lao động; </w:t>
      </w:r>
      <w:r>
        <w:rPr>
          <w:color w:val="000000" w:themeColor="text1"/>
          <w:sz w:val="28"/>
          <w:szCs w:val="28"/>
          <w14:textFill>
            <w14:solidFill>
              <w14:schemeClr w14:val="tx1"/>
            </w14:solidFill>
          </w14:textFill>
        </w:rPr>
        <w:t xml:space="preserve">dịch vụ cung ứng và tuyển lao động theo yêu cầu của người sử dụng lao động, trừ đối tượng thuộc bảo hiểm thất nghiệp chi trả; dịch vụ tổ chức và vận hành hệ thống sàn giao dịch việc làm đa nền tảng; </w:t>
      </w:r>
    </w:p>
    <w:p w14:paraId="3ACD2A8D">
      <w:pPr>
        <w:tabs>
          <w:tab w:val="left" w:pos="709"/>
        </w:tabs>
        <w:spacing w:before="120" w:line="264" w:lineRule="auto"/>
        <w:ind w:firstLine="709"/>
        <w:contextualSpacing/>
        <w:jc w:val="both"/>
        <w:rPr>
          <w:color w:val="333333"/>
          <w:sz w:val="28"/>
          <w:szCs w:val="28"/>
        </w:rPr>
      </w:pPr>
      <w:r>
        <w:rPr>
          <w:color w:val="000000" w:themeColor="text1"/>
          <w:sz w:val="28"/>
          <w:szCs w:val="28"/>
          <w14:textFill>
            <w14:solidFill>
              <w14:schemeClr w14:val="tx1"/>
            </w14:solidFill>
          </w14:textFill>
        </w:rPr>
        <w:t xml:space="preserve">- Lĩnh vực </w:t>
      </w:r>
      <w:r>
        <w:rPr>
          <w:color w:val="333333"/>
          <w:sz w:val="28"/>
          <w:szCs w:val="28"/>
        </w:rPr>
        <w:t>đưa người lao động đi làm việc ở nước ngoài theo hợp đồng cho lao động: dịch vụ đưa người lao động đi làm việc ở nước ngoài theo hợp đồng cho lao động.</w:t>
      </w:r>
    </w:p>
    <w:p w14:paraId="6BE63E8F">
      <w:pPr>
        <w:tabs>
          <w:tab w:val="left" w:pos="709"/>
        </w:tabs>
        <w:spacing w:before="120" w:line="264" w:lineRule="auto"/>
        <w:ind w:firstLine="709"/>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Lĩnh vực an toàn vệ sinh lao động: </w:t>
      </w:r>
      <w:r>
        <w:rPr>
          <w:color w:val="333333"/>
          <w:sz w:val="28"/>
          <w:szCs w:val="28"/>
        </w:rPr>
        <w:t>dịch vụ huấn luyện an toàn vệ sinh lao động.</w:t>
      </w:r>
    </w:p>
    <w:p w14:paraId="7AFADDE5">
      <w:pPr>
        <w:tabs>
          <w:tab w:val="left" w:pos="709"/>
        </w:tabs>
        <w:spacing w:before="120" w:line="264" w:lineRule="auto"/>
        <w:ind w:firstLine="709"/>
        <w:contextualSpacing/>
        <w:jc w:val="both"/>
        <w:rPr>
          <w:color w:val="000000" w:themeColor="text1"/>
          <w:sz w:val="28"/>
          <w:szCs w:val="28"/>
          <w:lang w:val="nb-NO"/>
          <w14:textFill>
            <w14:solidFill>
              <w14:schemeClr w14:val="tx1"/>
            </w14:solidFill>
          </w14:textFill>
        </w:rPr>
      </w:pPr>
      <w:r>
        <w:rPr>
          <w:color w:val="000000" w:themeColor="text1"/>
          <w:sz w:val="28"/>
          <w:szCs w:val="28"/>
          <w14:textFill>
            <w14:solidFill>
              <w14:schemeClr w14:val="tx1"/>
            </w14:solidFill>
          </w14:textFill>
        </w:rPr>
        <w:t xml:space="preserve">- Lĩnh vực </w:t>
      </w:r>
      <w:r>
        <w:rPr>
          <w:color w:val="333333"/>
          <w:sz w:val="28"/>
          <w:szCs w:val="28"/>
        </w:rPr>
        <w:t xml:space="preserve">trợ giúp xã hội: </w:t>
      </w:r>
      <w:r>
        <w:rPr>
          <w:sz w:val="28"/>
          <w:szCs w:val="28"/>
        </w:rPr>
        <w:t xml:space="preserve">dịch vụ chăm sóc đối tượng cần sự bảo vệ khẩn cấp; </w:t>
      </w:r>
      <w:r>
        <w:rPr>
          <w:color w:val="333333"/>
          <w:sz w:val="28"/>
          <w:szCs w:val="28"/>
        </w:rPr>
        <w:t>dịch vụ chăm sóc dài hạn cho đối tượng bảo trợ xã hội; dịch vụ công tác xã hội và chăm sóc bán trú cho đối tượng theo Nghị định 20/2021/NĐ-CP (nay là Nghị định 335/2026/NĐ-CP).</w:t>
      </w:r>
    </w:p>
    <w:p w14:paraId="051F9467">
      <w:pPr>
        <w:tabs>
          <w:tab w:val="left" w:pos="709"/>
        </w:tabs>
        <w:spacing w:before="120" w:line="264" w:lineRule="auto"/>
        <w:ind w:firstLine="709"/>
        <w:contextualSpacing/>
        <w:jc w:val="both"/>
        <w:rPr>
          <w:sz w:val="28"/>
          <w:szCs w:val="28"/>
        </w:rPr>
      </w:pPr>
      <w:r>
        <w:rPr>
          <w:color w:val="000000" w:themeColor="text1"/>
          <w:sz w:val="28"/>
          <w:szCs w:val="28"/>
          <w:lang w:val="nb-NO"/>
          <w14:textFill>
            <w14:solidFill>
              <w14:schemeClr w14:val="tx1"/>
            </w14:solidFill>
          </w14:textFill>
        </w:rPr>
        <w:t>- Lĩnh vực lưu trữ: dịch vụ chỉnh lý tài liệu giấy; dịch vụ thu thập tài liệu vào Lưu trữ lịch sử tỉnh; dịch vụ vệ sinh kho bảo quản tài liệu lưu trữ và vệ sinh tài liệu lưu trữ nền giấy; dịch vụ bồi nền tài liệu lưu trữ; dịch vụ tạo lập cơ sở dữ liệu tài liệu lưu trữ; dịch vụ sử dụng tài liệu tại phòng đọc phục vụ nhiệm vụ chính trị; dịch vụ biên soạn, xuất bản ấn phẩm lưu trữ phục vụ nhiệm vụ chính trị.</w:t>
      </w:r>
    </w:p>
    <w:p w14:paraId="34F7CCD1">
      <w:pPr>
        <w:spacing w:before="120" w:line="264" w:lineRule="auto"/>
        <w:ind w:firstLine="720"/>
        <w:jc w:val="both"/>
        <w:rPr>
          <w:rStyle w:val="21"/>
          <w:b/>
        </w:rPr>
      </w:pPr>
      <w:r>
        <w:rPr>
          <w:rStyle w:val="21"/>
          <w:b/>
        </w:rPr>
        <w:t>Điều 4. Trách nhiệm của Sở Nội vụ</w:t>
      </w:r>
    </w:p>
    <w:p w14:paraId="217945E5">
      <w:pPr>
        <w:spacing w:before="120" w:line="264" w:lineRule="auto"/>
        <w:ind w:firstLine="720"/>
        <w:jc w:val="both"/>
        <w:rPr>
          <w:rStyle w:val="21"/>
          <w:b/>
          <w:bCs/>
        </w:rPr>
      </w:pPr>
      <w:r>
        <w:rPr>
          <w:rStyle w:val="21"/>
        </w:rPr>
        <w:t>1. Chịu trách nhiệm trước pháp luật và Ủy ban nhân dân tỉnh về việc tổ chức thực hiện đảm bảo đúng quy định, trình tự, thủ tục, thẩm quyền, nội dung, kết quả thực hiện nhiệm vụ, quyền hạn được phân cấp tại Quyết định này.</w:t>
      </w:r>
    </w:p>
    <w:p w14:paraId="42654280">
      <w:pPr>
        <w:spacing w:before="120" w:line="264" w:lineRule="auto"/>
        <w:ind w:firstLine="720"/>
        <w:jc w:val="both"/>
        <w:rPr>
          <w:sz w:val="28"/>
          <w:szCs w:val="28"/>
          <w:shd w:val="clear" w:color="auto" w:fill="FFFFFF"/>
        </w:rPr>
      </w:pPr>
      <w:r>
        <w:rPr>
          <w:color w:val="000000"/>
          <w:sz w:val="28"/>
          <w:szCs w:val="28"/>
          <w:shd w:val="clear" w:color="auto" w:fill="FFFFFF"/>
        </w:rPr>
        <w:t xml:space="preserve">2. </w:t>
      </w:r>
      <w:r>
        <w:rPr>
          <w:sz w:val="28"/>
          <w:szCs w:val="28"/>
        </w:rPr>
        <w:t>Bố trí nguồn lực để đảm bảo thực hiện các nhiệm vụ được phân cấp; tổng hợp khó khăn, vướng mắc</w:t>
      </w:r>
      <w:r>
        <w:rPr>
          <w:spacing w:val="-1"/>
          <w:sz w:val="28"/>
          <w:szCs w:val="28"/>
        </w:rPr>
        <w:t xml:space="preserve"> </w:t>
      </w:r>
      <w:r>
        <w:rPr>
          <w:sz w:val="28"/>
          <w:szCs w:val="28"/>
        </w:rPr>
        <w:t>trong quá trình thực hiện nhiệm vụ</w:t>
      </w:r>
      <w:r>
        <w:rPr>
          <w:spacing w:val="-1"/>
          <w:sz w:val="28"/>
          <w:szCs w:val="28"/>
        </w:rPr>
        <w:t xml:space="preserve"> </w:t>
      </w:r>
      <w:r>
        <w:rPr>
          <w:sz w:val="28"/>
          <w:szCs w:val="28"/>
        </w:rPr>
        <w:t>được phân cấp, báo cáo Ủy ban nhân dân tỉnh xem xét, quyết định.</w:t>
      </w:r>
    </w:p>
    <w:p w14:paraId="41B4ED5C">
      <w:pPr>
        <w:spacing w:before="120" w:line="264" w:lineRule="auto"/>
        <w:ind w:firstLine="720"/>
        <w:jc w:val="both"/>
        <w:rPr>
          <w:rStyle w:val="21"/>
          <w:b/>
        </w:rPr>
      </w:pPr>
      <w:r>
        <w:rPr>
          <w:color w:val="000000"/>
          <w:sz w:val="28"/>
          <w:szCs w:val="28"/>
          <w:shd w:val="clear" w:color="auto" w:fill="FFFFFF"/>
        </w:rPr>
        <w:t>3. Đ</w:t>
      </w:r>
      <w:r>
        <w:rPr>
          <w:iCs/>
          <w:sz w:val="28"/>
          <w:szCs w:val="28"/>
        </w:rPr>
        <w:t>ịnh kỳ trước ngày 20 tháng 12 hằng năm báo cáo, đánh giá việc thực hiện nhiệm vụ, quyền hạn được phân cấp.</w:t>
      </w:r>
    </w:p>
    <w:p w14:paraId="5502B97D">
      <w:pPr>
        <w:spacing w:before="120" w:line="264" w:lineRule="auto"/>
        <w:ind w:firstLine="720"/>
        <w:jc w:val="both"/>
        <w:rPr>
          <w:sz w:val="28"/>
          <w:szCs w:val="28"/>
        </w:rPr>
      </w:pPr>
      <w:r>
        <w:rPr>
          <w:rStyle w:val="21"/>
          <w:b/>
        </w:rPr>
        <w:t>Điều 5.</w:t>
      </w:r>
      <w:r>
        <w:rPr>
          <w:rStyle w:val="21"/>
        </w:rPr>
        <w:t xml:space="preserve"> </w:t>
      </w:r>
      <w:r>
        <w:rPr>
          <w:rStyle w:val="21"/>
          <w:b/>
        </w:rPr>
        <w:t>Điều khoản thi hành</w:t>
      </w:r>
    </w:p>
    <w:p w14:paraId="6492CCCB">
      <w:pPr>
        <w:spacing w:before="120" w:line="264" w:lineRule="auto"/>
        <w:ind w:firstLine="720"/>
        <w:jc w:val="both"/>
        <w:rPr>
          <w:bCs/>
          <w:color w:val="000000"/>
          <w:sz w:val="28"/>
          <w:szCs w:val="28"/>
        </w:rPr>
      </w:pPr>
      <w:r>
        <w:rPr>
          <w:bCs/>
          <w:color w:val="000000"/>
          <w:sz w:val="28"/>
          <w:szCs w:val="28"/>
        </w:rPr>
        <w:t xml:space="preserve">1. </w:t>
      </w:r>
      <w:r>
        <w:rPr>
          <w:bCs/>
          <w:color w:val="000000"/>
          <w:sz w:val="28"/>
          <w:szCs w:val="28"/>
          <w:lang w:val="vi-VN"/>
        </w:rPr>
        <w:t xml:space="preserve">Quyết định này có hiệu lực kể từ ngày </w:t>
      </w:r>
      <w:r>
        <w:rPr>
          <w:bCs/>
          <w:color w:val="000000"/>
          <w:sz w:val="28"/>
          <w:szCs w:val="28"/>
        </w:rPr>
        <w:t xml:space="preserve">   tháng     năm 2026</w:t>
      </w:r>
      <w:r>
        <w:rPr>
          <w:bCs/>
          <w:color w:val="000000"/>
          <w:sz w:val="28"/>
          <w:szCs w:val="28"/>
          <w:lang w:val="vi-VN"/>
        </w:rPr>
        <w:t>.</w:t>
      </w:r>
    </w:p>
    <w:p w14:paraId="6EC78686">
      <w:pPr>
        <w:spacing w:before="120" w:line="264" w:lineRule="auto"/>
        <w:ind w:firstLine="720"/>
        <w:jc w:val="both"/>
        <w:rPr>
          <w:sz w:val="28"/>
          <w:szCs w:val="28"/>
          <w:shd w:val="clear" w:color="auto" w:fill="FFFFFF"/>
        </w:rPr>
      </w:pPr>
      <w:r>
        <w:rPr>
          <w:color w:val="000000"/>
          <w:sz w:val="28"/>
          <w:szCs w:val="28"/>
          <w:shd w:val="clear" w:color="auto" w:fill="FFFFFF"/>
        </w:rPr>
        <w:t>2</w:t>
      </w:r>
      <w:r>
        <w:rPr>
          <w:sz w:val="28"/>
          <w:szCs w:val="28"/>
          <w:shd w:val="clear" w:color="auto" w:fill="FFFFFF"/>
        </w:rPr>
        <w:t>. Trường hợp các văn bản pháp luật viện dẫn tại Quyết định này được sửa đổi, bổ sung hoặc thay thế thì áp dụng theo quy định tại các văn bản quy phạm pháp luật mới. Trường hợp các văn bản pháp luật thay đổi dẫn đến nội dung Quyết định này không còn phù hợp, Sở Nội vụ báo cáo, tham mưu Ủy ban nhân dân tỉnh xem xét, sửa đổi, bổ sung hoặc thay thế hoặc bãi bỏ đảm bảo đúng quy định.</w:t>
      </w:r>
    </w:p>
    <w:p w14:paraId="7780A967">
      <w:pPr>
        <w:spacing w:before="120" w:line="264" w:lineRule="auto"/>
        <w:ind w:firstLine="720"/>
        <w:jc w:val="both"/>
        <w:rPr>
          <w:sz w:val="28"/>
          <w:szCs w:val="28"/>
          <w:lang w:val="vi-VN"/>
        </w:rPr>
      </w:pPr>
      <w:r>
        <w:rPr>
          <w:rStyle w:val="21"/>
        </w:rPr>
        <w:t>Chánh Văn phòng Ủy ban nhân dân tỉnh; Giám đốc các Sở: Nội vụ, Tài chính; các tổ chức, cá nhân có liên quan chịu trách nhiệm thi hành Quyết định này</w:t>
      </w:r>
      <w:r>
        <w:rPr>
          <w:spacing w:val="1"/>
          <w:w w:val="102"/>
          <w:sz w:val="28"/>
          <w:szCs w:val="28"/>
        </w:rPr>
        <w:t>./.</w:t>
      </w:r>
    </w:p>
    <w:p w14:paraId="1DEFD5D2">
      <w:pPr>
        <w:shd w:val="clear" w:color="auto" w:fill="FFFFFF"/>
        <w:spacing w:before="120"/>
        <w:ind w:firstLine="720"/>
        <w:jc w:val="both"/>
        <w:rPr>
          <w:bCs/>
          <w:color w:val="000000"/>
          <w:sz w:val="16"/>
          <w:szCs w:val="16"/>
          <w:lang w:val="vi-VN"/>
        </w:rPr>
      </w:pPr>
    </w:p>
    <w:tbl>
      <w:tblPr>
        <w:tblStyle w:val="4"/>
        <w:tblW w:w="8931" w:type="dxa"/>
        <w:tblInd w:w="108" w:type="dxa"/>
        <w:tblLayout w:type="autofit"/>
        <w:tblCellMar>
          <w:top w:w="0" w:type="dxa"/>
          <w:left w:w="108" w:type="dxa"/>
          <w:bottom w:w="0" w:type="dxa"/>
          <w:right w:w="108" w:type="dxa"/>
        </w:tblCellMar>
      </w:tblPr>
      <w:tblGrid>
        <w:gridCol w:w="4395"/>
        <w:gridCol w:w="4536"/>
      </w:tblGrid>
      <w:tr w14:paraId="5CB1B15A">
        <w:tblPrEx>
          <w:tblCellMar>
            <w:top w:w="0" w:type="dxa"/>
            <w:left w:w="108" w:type="dxa"/>
            <w:bottom w:w="0" w:type="dxa"/>
            <w:right w:w="108" w:type="dxa"/>
          </w:tblCellMar>
        </w:tblPrEx>
        <w:tc>
          <w:tcPr>
            <w:tcW w:w="4395" w:type="dxa"/>
          </w:tcPr>
          <w:p w14:paraId="14EAA771">
            <w:pPr>
              <w:jc w:val="both"/>
              <w:rPr>
                <w:b/>
                <w:i/>
                <w:lang w:val="vi-VN"/>
              </w:rPr>
            </w:pPr>
            <w:r>
              <w:rPr>
                <w:b/>
                <w:i/>
                <w:lang w:val="vi-VN"/>
              </w:rPr>
              <w:t>Nơi nhận:</w:t>
            </w:r>
          </w:p>
          <w:p w14:paraId="09265ED7">
            <w:pPr>
              <w:jc w:val="both"/>
              <w:rPr>
                <w:rFonts w:ascii="TimesNewRomanPSMT" w:hAnsi="TimesNewRomanPSMT"/>
                <w:color w:val="000000"/>
                <w:sz w:val="22"/>
                <w:szCs w:val="22"/>
              </w:rPr>
            </w:pPr>
            <w:r>
              <w:rPr>
                <w:rFonts w:ascii="TimesNewRomanPSMT" w:hAnsi="TimesNewRomanPSMT"/>
                <w:color w:val="000000"/>
                <w:sz w:val="22"/>
                <w:szCs w:val="22"/>
              </w:rPr>
              <w:t xml:space="preserve">- Như Điều 5; </w:t>
            </w:r>
          </w:p>
          <w:p w14:paraId="55CC378A">
            <w:pPr>
              <w:tabs>
                <w:tab w:val="center" w:pos="7296"/>
              </w:tabs>
              <w:rPr>
                <w:sz w:val="22"/>
              </w:rPr>
            </w:pPr>
            <w:r>
              <w:rPr>
                <w:sz w:val="22"/>
              </w:rPr>
              <w:t>- Bộ Nội vụ</w:t>
            </w:r>
            <w:r>
              <w:rPr>
                <w:sz w:val="22"/>
                <w:lang w:val="vi-VN"/>
              </w:rPr>
              <w:t xml:space="preserve"> (Vụ pháp chế)</w:t>
            </w:r>
            <w:r>
              <w:rPr>
                <w:sz w:val="22"/>
              </w:rPr>
              <w:t>;</w:t>
            </w:r>
          </w:p>
          <w:p w14:paraId="167B79FC">
            <w:pPr>
              <w:tabs>
                <w:tab w:val="center" w:pos="7296"/>
              </w:tabs>
              <w:rPr>
                <w:sz w:val="22"/>
              </w:rPr>
            </w:pPr>
            <w:r>
              <w:rPr>
                <w:sz w:val="22"/>
              </w:rPr>
              <w:t xml:space="preserve">- </w:t>
            </w:r>
            <w:r>
              <w:rPr>
                <w:sz w:val="22"/>
                <w:lang w:val="vi-VN"/>
              </w:rPr>
              <w:t>Bộ Tư pháp (</w:t>
            </w:r>
            <w:r>
              <w:rPr>
                <w:sz w:val="22"/>
              </w:rPr>
              <w:t>Cục Kiểm tra văn bản</w:t>
            </w:r>
            <w:r>
              <w:rPr>
                <w:sz w:val="22"/>
                <w:lang w:val="vi-VN"/>
              </w:rPr>
              <w:t xml:space="preserve"> và Tổ chức thi hành pháp luật)</w:t>
            </w:r>
            <w:r>
              <w:rPr>
                <w:sz w:val="22"/>
              </w:rPr>
              <w:t>;</w:t>
            </w:r>
          </w:p>
          <w:p w14:paraId="1A036BA7">
            <w:pPr>
              <w:tabs>
                <w:tab w:val="center" w:pos="7296"/>
              </w:tabs>
              <w:rPr>
                <w:sz w:val="22"/>
              </w:rPr>
            </w:pPr>
            <w:r>
              <w:rPr>
                <w:sz w:val="22"/>
              </w:rPr>
              <w:t>- TT Tỉnh ủy, TT HĐND tỉnh;</w:t>
            </w:r>
          </w:p>
          <w:p w14:paraId="1BDD7A82">
            <w:pPr>
              <w:tabs>
                <w:tab w:val="center" w:pos="7296"/>
              </w:tabs>
              <w:rPr>
                <w:sz w:val="22"/>
                <w:lang w:val="vi-VN"/>
              </w:rPr>
            </w:pPr>
            <w:r>
              <w:rPr>
                <w:sz w:val="22"/>
                <w:lang w:val="vi-VN"/>
              </w:rPr>
              <w:t>- Ban Tổ chức Tỉnh ủy;</w:t>
            </w:r>
          </w:p>
          <w:p w14:paraId="10459480">
            <w:pPr>
              <w:tabs>
                <w:tab w:val="center" w:pos="7296"/>
              </w:tabs>
              <w:rPr>
                <w:sz w:val="22"/>
              </w:rPr>
            </w:pPr>
            <w:r>
              <w:rPr>
                <w:sz w:val="22"/>
              </w:rPr>
              <w:t>- Đoàn ĐBQH tỉnh;</w:t>
            </w:r>
          </w:p>
          <w:p w14:paraId="585EBA21">
            <w:pPr>
              <w:tabs>
                <w:tab w:val="center" w:pos="7296"/>
              </w:tabs>
              <w:rPr>
                <w:sz w:val="22"/>
              </w:rPr>
            </w:pPr>
            <w:r>
              <w:rPr>
                <w:sz w:val="22"/>
              </w:rPr>
              <w:t>- Chủ tịch, các Phó Chủ tịch UBND tỉnh;</w:t>
            </w:r>
          </w:p>
          <w:p w14:paraId="451776B4">
            <w:pPr>
              <w:tabs>
                <w:tab w:val="center" w:pos="7296"/>
              </w:tabs>
              <w:rPr>
                <w:sz w:val="22"/>
              </w:rPr>
            </w:pPr>
            <w:r>
              <w:rPr>
                <w:sz w:val="22"/>
              </w:rPr>
              <w:t>- CVP, các PCVP UBND tỉnh;</w:t>
            </w:r>
          </w:p>
          <w:p w14:paraId="616D8CA0">
            <w:pPr>
              <w:jc w:val="both"/>
              <w:rPr>
                <w:rFonts w:ascii="TimesNewRomanPSMT" w:hAnsi="TimesNewRomanPSMT"/>
                <w:color w:val="000000"/>
                <w:sz w:val="22"/>
                <w:szCs w:val="22"/>
              </w:rPr>
            </w:pPr>
            <w:r>
              <w:rPr>
                <w:rFonts w:ascii="TimesNewRomanPSMT" w:hAnsi="TimesNewRomanPSMT"/>
                <w:color w:val="000000"/>
                <w:sz w:val="22"/>
                <w:szCs w:val="22"/>
              </w:rPr>
              <w:t xml:space="preserve">- Cổng TTĐT tỉnh; </w:t>
            </w:r>
          </w:p>
          <w:p w14:paraId="443D51A4">
            <w:pPr>
              <w:jc w:val="both"/>
              <w:rPr>
                <w:rFonts w:ascii="TimesNewRomanPSMT" w:hAnsi="TimesNewRomanPSMT"/>
                <w:color w:val="000000"/>
                <w:sz w:val="22"/>
                <w:szCs w:val="22"/>
              </w:rPr>
            </w:pPr>
            <w:r>
              <w:rPr>
                <w:rFonts w:ascii="TimesNewRomanPSMT" w:hAnsi="TimesNewRomanPSMT"/>
                <w:color w:val="000000"/>
                <w:sz w:val="22"/>
                <w:szCs w:val="22"/>
              </w:rPr>
              <w:t xml:space="preserve">- Trung tâm </w:t>
            </w:r>
            <w:r>
              <w:t>TT và XT, hỗ trợ đầu tư tỉnh</w:t>
            </w:r>
            <w:r>
              <w:rPr>
                <w:rFonts w:ascii="TimesNewRomanPSMT" w:hAnsi="TimesNewRomanPSMT"/>
                <w:color w:val="000000"/>
                <w:sz w:val="22"/>
                <w:szCs w:val="22"/>
              </w:rPr>
              <w:t xml:space="preserve">; </w:t>
            </w:r>
          </w:p>
          <w:p w14:paraId="7F71DD90">
            <w:pPr>
              <w:jc w:val="both"/>
              <w:rPr>
                <w:sz w:val="22"/>
                <w:szCs w:val="22"/>
                <w:lang w:val="vi-VN"/>
              </w:rPr>
            </w:pPr>
            <w:r>
              <w:rPr>
                <w:rFonts w:ascii="TimesNewRomanPSMT" w:hAnsi="TimesNewRomanPSMT"/>
                <w:color w:val="000000"/>
                <w:sz w:val="22"/>
                <w:szCs w:val="22"/>
              </w:rPr>
              <w:t>- Lưu: VT, VX</w:t>
            </w:r>
            <w:r>
              <w:rPr>
                <w:rFonts w:ascii="TimesNewRomanPSMT" w:hAnsi="TimesNewRomanPSMT"/>
                <w:color w:val="000000"/>
                <w:sz w:val="22"/>
                <w:szCs w:val="22"/>
                <w:vertAlign w:val="subscript"/>
              </w:rPr>
              <w:t>2</w:t>
            </w:r>
            <w:r>
              <w:rPr>
                <w:rFonts w:ascii="TimesNewRomanPSMT" w:hAnsi="TimesNewRomanPSMT"/>
                <w:color w:val="000000"/>
                <w:sz w:val="22"/>
                <w:szCs w:val="22"/>
              </w:rPr>
              <w:t>.</w:t>
            </w:r>
          </w:p>
        </w:tc>
        <w:tc>
          <w:tcPr>
            <w:tcW w:w="4536" w:type="dxa"/>
          </w:tcPr>
          <w:p w14:paraId="4E4DC71C">
            <w:pPr>
              <w:jc w:val="center"/>
              <w:rPr>
                <w:b/>
                <w:sz w:val="28"/>
                <w:szCs w:val="28"/>
              </w:rPr>
            </w:pPr>
            <w:r>
              <w:rPr>
                <w:b/>
                <w:sz w:val="28"/>
                <w:szCs w:val="28"/>
              </w:rPr>
              <w:t>TM. ỦY BAN NHÂN DÂN</w:t>
            </w:r>
          </w:p>
          <w:p w14:paraId="18DC694C">
            <w:pPr>
              <w:jc w:val="center"/>
              <w:rPr>
                <w:b/>
                <w:sz w:val="28"/>
                <w:szCs w:val="28"/>
              </w:rPr>
            </w:pPr>
            <w:r>
              <w:rPr>
                <w:b/>
                <w:sz w:val="28"/>
                <w:szCs w:val="28"/>
              </w:rPr>
              <w:t>KT. CHỦ TỊCH</w:t>
            </w:r>
          </w:p>
          <w:p w14:paraId="5AC04034">
            <w:pPr>
              <w:jc w:val="center"/>
              <w:rPr>
                <w:b/>
                <w:sz w:val="28"/>
                <w:szCs w:val="28"/>
              </w:rPr>
            </w:pPr>
            <w:r>
              <w:rPr>
                <w:b/>
                <w:sz w:val="28"/>
                <w:szCs w:val="28"/>
              </w:rPr>
              <w:t>PHÓ CHỦ TỊCH</w:t>
            </w:r>
          </w:p>
          <w:p w14:paraId="1C6C028E">
            <w:pPr>
              <w:jc w:val="center"/>
              <w:rPr>
                <w:b/>
                <w:sz w:val="28"/>
                <w:szCs w:val="28"/>
              </w:rPr>
            </w:pPr>
          </w:p>
          <w:p w14:paraId="76AAB821">
            <w:pPr>
              <w:jc w:val="center"/>
              <w:rPr>
                <w:b/>
                <w:sz w:val="28"/>
                <w:szCs w:val="28"/>
              </w:rPr>
            </w:pPr>
          </w:p>
          <w:p w14:paraId="0E66D32F">
            <w:pPr>
              <w:jc w:val="center"/>
              <w:rPr>
                <w:b/>
                <w:sz w:val="28"/>
                <w:szCs w:val="28"/>
              </w:rPr>
            </w:pPr>
          </w:p>
          <w:p w14:paraId="19C07C08">
            <w:pPr>
              <w:jc w:val="center"/>
              <w:rPr>
                <w:b/>
                <w:sz w:val="28"/>
                <w:szCs w:val="28"/>
              </w:rPr>
            </w:pPr>
          </w:p>
          <w:p w14:paraId="0862FD1A">
            <w:pPr>
              <w:jc w:val="center"/>
              <w:rPr>
                <w:b/>
                <w:sz w:val="26"/>
                <w:szCs w:val="26"/>
                <w:lang w:val="vi-VN"/>
              </w:rPr>
            </w:pPr>
          </w:p>
          <w:p w14:paraId="589478C7">
            <w:pPr>
              <w:tabs>
                <w:tab w:val="left" w:pos="2616"/>
              </w:tabs>
              <w:spacing w:before="120" w:line="288" w:lineRule="auto"/>
              <w:jc w:val="center"/>
              <w:rPr>
                <w:b/>
                <w:sz w:val="28"/>
                <w:szCs w:val="28"/>
              </w:rPr>
            </w:pPr>
          </w:p>
          <w:p w14:paraId="52EA5C2F">
            <w:pPr>
              <w:spacing w:before="120" w:line="288" w:lineRule="auto"/>
              <w:jc w:val="center"/>
              <w:rPr>
                <w:b/>
                <w:sz w:val="26"/>
                <w:szCs w:val="26"/>
                <w:lang w:val="vi-VN"/>
              </w:rPr>
            </w:pPr>
          </w:p>
          <w:p w14:paraId="03DF5484">
            <w:pPr>
              <w:spacing w:before="120" w:line="288" w:lineRule="auto"/>
              <w:jc w:val="center"/>
              <w:rPr>
                <w:b/>
                <w:sz w:val="26"/>
                <w:szCs w:val="26"/>
                <w:lang w:val="vi-VN"/>
              </w:rPr>
            </w:pPr>
          </w:p>
          <w:p w14:paraId="29B9EC79">
            <w:pPr>
              <w:spacing w:before="120" w:line="288" w:lineRule="auto"/>
              <w:jc w:val="center"/>
              <w:rPr>
                <w:b/>
                <w:sz w:val="28"/>
              </w:rPr>
            </w:pPr>
          </w:p>
        </w:tc>
      </w:tr>
    </w:tbl>
    <w:p w14:paraId="27EDA9E8"/>
    <w:sectPr>
      <w:headerReference r:id="rId4" w:type="first"/>
      <w:headerReference r:id="rId3" w:type="default"/>
      <w:pgSz w:w="11907" w:h="16840"/>
      <w:pgMar w:top="1135" w:right="992" w:bottom="1135" w:left="1985" w:header="425" w:footer="284"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691304"/>
      <w:docPartObj>
        <w:docPartGallery w:val="AutoText"/>
      </w:docPartObj>
    </w:sdtPr>
    <w:sdtContent>
      <w:p w14:paraId="072A8B95">
        <w:pPr>
          <w:pStyle w:val="11"/>
          <w:jc w:val="center"/>
        </w:pPr>
        <w:r>
          <w:fldChar w:fldCharType="begin"/>
        </w:r>
        <w:r>
          <w:instrText xml:space="preserve"> PAGE   \* MERGEFORMAT </w:instrText>
        </w:r>
        <w:r>
          <w:fldChar w:fldCharType="separate"/>
        </w:r>
        <w:r>
          <w:t>2</w:t>
        </w:r>
        <w:r>
          <w:fldChar w:fldCharType="end"/>
        </w:r>
      </w:p>
    </w:sdtContent>
  </w:sdt>
  <w:p w14:paraId="7E4658A3">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492923"/>
      <w:docPartObj>
        <w:docPartGallery w:val="AutoText"/>
      </w:docPartObj>
    </w:sdtPr>
    <w:sdtContent>
      <w:p w14:paraId="79379DD4">
        <w:pPr>
          <w:pStyle w:val="11"/>
          <w:jc w:val="center"/>
        </w:pPr>
        <w:r>
          <w:fldChar w:fldCharType="begin"/>
        </w:r>
        <w:r>
          <w:instrText xml:space="preserve"> PAGE   \* MERGEFORMAT </w:instrText>
        </w:r>
        <w:r>
          <w:fldChar w:fldCharType="separate"/>
        </w:r>
        <w:r>
          <w:t>1</w:t>
        </w:r>
        <w:r>
          <w:fldChar w:fldCharType="end"/>
        </w:r>
      </w:p>
    </w:sdtContent>
  </w:sdt>
  <w:p w14:paraId="65AEB8C9">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AD9"/>
    <w:rsid w:val="000E006F"/>
    <w:rsid w:val="001247D0"/>
    <w:rsid w:val="00190951"/>
    <w:rsid w:val="00363140"/>
    <w:rsid w:val="004245A4"/>
    <w:rsid w:val="00605AD9"/>
    <w:rsid w:val="00700803"/>
    <w:rsid w:val="00752CC7"/>
    <w:rsid w:val="00804036"/>
    <w:rsid w:val="0085548D"/>
    <w:rsid w:val="008914C5"/>
    <w:rsid w:val="008A29DD"/>
    <w:rsid w:val="00977EF7"/>
    <w:rsid w:val="00B66F7B"/>
    <w:rsid w:val="00CE4D4A"/>
    <w:rsid w:val="00D76E93"/>
    <w:rsid w:val="00EA3E7B"/>
    <w:rsid w:val="00F076A3"/>
    <w:rsid w:val="00F1291F"/>
    <w:rsid w:val="00F966B9"/>
    <w:rsid w:val="00FC1B71"/>
    <w:rsid w:val="00FC5328"/>
    <w:rsid w:val="34381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semiHidden="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semiHidden="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4"/>
    <w:basedOn w:val="1"/>
    <w:next w:val="1"/>
    <w:link w:val="26"/>
    <w:unhideWhenUsed/>
    <w:qFormat/>
    <w:uiPriority w:val="0"/>
    <w:pPr>
      <w:keepNext/>
      <w:spacing w:before="240" w:after="60"/>
      <w:outlineLvl w:val="3"/>
    </w:pPr>
    <w:rPr>
      <w:rFonts w:ascii="Calibri" w:hAnsi="Calibri"/>
      <w:b/>
      <w:bCs/>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5"/>
    <w:uiPriority w:val="0"/>
    <w:rPr>
      <w:rFonts w:ascii="Segoe UI" w:hAnsi="Segoe UI" w:cs="Segoe UI"/>
      <w:sz w:val="18"/>
      <w:szCs w:val="18"/>
    </w:rPr>
  </w:style>
  <w:style w:type="paragraph" w:styleId="6">
    <w:name w:val="Body Text"/>
    <w:basedOn w:val="1"/>
    <w:link w:val="22"/>
    <w:qFormat/>
    <w:uiPriority w:val="0"/>
    <w:pPr>
      <w:spacing w:after="120"/>
    </w:pPr>
  </w:style>
  <w:style w:type="paragraph" w:styleId="7">
    <w:name w:val="Body Text Indent"/>
    <w:basedOn w:val="1"/>
    <w:link w:val="17"/>
    <w:qFormat/>
    <w:uiPriority w:val="0"/>
    <w:pPr>
      <w:spacing w:before="60" w:line="252" w:lineRule="auto"/>
      <w:ind w:firstLine="709"/>
      <w:jc w:val="both"/>
    </w:pPr>
    <w:rPr>
      <w:rFonts w:ascii=".VnTime" w:hAnsi=".VnTime"/>
      <w:sz w:val="28"/>
      <w:szCs w:val="20"/>
      <w:lang w:val="zh-CN" w:eastAsia="zh-CN"/>
    </w:rPr>
  </w:style>
  <w:style w:type="paragraph" w:styleId="8">
    <w:name w:val="footer"/>
    <w:basedOn w:val="1"/>
    <w:qFormat/>
    <w:uiPriority w:val="0"/>
    <w:pPr>
      <w:tabs>
        <w:tab w:val="center" w:pos="4320"/>
        <w:tab w:val="right" w:pos="8640"/>
      </w:tabs>
    </w:pPr>
  </w:style>
  <w:style w:type="character" w:styleId="9">
    <w:name w:val="footnote reference"/>
    <w:basedOn w:val="3"/>
    <w:unhideWhenUsed/>
    <w:qFormat/>
    <w:uiPriority w:val="0"/>
    <w:rPr>
      <w:vertAlign w:val="superscript"/>
    </w:rPr>
  </w:style>
  <w:style w:type="paragraph" w:styleId="10">
    <w:name w:val="footnote text"/>
    <w:basedOn w:val="1"/>
    <w:link w:val="27"/>
    <w:unhideWhenUsed/>
    <w:qFormat/>
    <w:uiPriority w:val="0"/>
    <w:rPr>
      <w:rFonts w:ascii=".VnTime" w:hAnsi=".VnTime"/>
      <w:sz w:val="20"/>
      <w:szCs w:val="20"/>
    </w:rPr>
  </w:style>
  <w:style w:type="paragraph" w:styleId="11">
    <w:name w:val="header"/>
    <w:basedOn w:val="1"/>
    <w:link w:val="20"/>
    <w:qFormat/>
    <w:uiPriority w:val="99"/>
    <w:pPr>
      <w:tabs>
        <w:tab w:val="center" w:pos="4680"/>
        <w:tab w:val="right" w:pos="9360"/>
      </w:tabs>
    </w:pPr>
  </w:style>
  <w:style w:type="character" w:styleId="12">
    <w:name w:val="Hyperlink"/>
    <w:basedOn w:val="3"/>
    <w:unhideWhenUsed/>
    <w:qFormat/>
    <w:uiPriority w:val="99"/>
    <w:rPr>
      <w:color w:val="0000FF"/>
      <w:u w:val="single"/>
    </w:rPr>
  </w:style>
  <w:style w:type="paragraph" w:styleId="13">
    <w:name w:val="Normal (Web)"/>
    <w:basedOn w:val="1"/>
    <w:link w:val="19"/>
    <w:unhideWhenUsed/>
    <w:qFormat/>
    <w:uiPriority w:val="0"/>
    <w:pPr>
      <w:spacing w:before="100" w:beforeAutospacing="1" w:after="100" w:afterAutospacing="1"/>
    </w:pPr>
    <w:rPr>
      <w:lang w:val="zh-CN" w:eastAsia="zh-CN"/>
    </w:rPr>
  </w:style>
  <w:style w:type="character" w:styleId="14">
    <w:name w:val="page number"/>
    <w:basedOn w:val="3"/>
    <w:qFormat/>
    <w:uiPriority w:val="0"/>
  </w:style>
  <w:style w:type="character" w:styleId="15">
    <w:name w:val="Strong"/>
    <w:qFormat/>
    <w:uiPriority w:val="22"/>
    <w:rPr>
      <w:b/>
      <w:bCs/>
    </w:rPr>
  </w:style>
  <w:style w:type="table" w:styleId="16">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Body Text Indent Char"/>
    <w:link w:val="7"/>
    <w:qFormat/>
    <w:uiPriority w:val="0"/>
    <w:rPr>
      <w:rFonts w:ascii=".VnTime" w:hAnsi=".VnTime"/>
      <w:sz w:val="28"/>
      <w:lang w:bidi="ar-SA"/>
    </w:rPr>
  </w:style>
  <w:style w:type="paragraph" w:customStyle="1" w:styleId="18">
    <w:name w:val="rtejustify"/>
    <w:basedOn w:val="1"/>
    <w:qFormat/>
    <w:uiPriority w:val="0"/>
    <w:pPr>
      <w:spacing w:before="100" w:beforeAutospacing="1" w:after="100" w:afterAutospacing="1"/>
    </w:pPr>
  </w:style>
  <w:style w:type="character" w:customStyle="1" w:styleId="19">
    <w:name w:val="Normal (Web) Char"/>
    <w:link w:val="13"/>
    <w:qFormat/>
    <w:locked/>
    <w:uiPriority w:val="0"/>
    <w:rPr>
      <w:sz w:val="24"/>
      <w:szCs w:val="24"/>
    </w:rPr>
  </w:style>
  <w:style w:type="character" w:customStyle="1" w:styleId="20">
    <w:name w:val="Header Char"/>
    <w:link w:val="11"/>
    <w:qFormat/>
    <w:uiPriority w:val="99"/>
    <w:rPr>
      <w:sz w:val="24"/>
      <w:szCs w:val="24"/>
    </w:rPr>
  </w:style>
  <w:style w:type="character" w:customStyle="1" w:styleId="21">
    <w:name w:val="fontstyle01"/>
    <w:qFormat/>
    <w:uiPriority w:val="0"/>
    <w:rPr>
      <w:rFonts w:hint="default" w:ascii="Times New Roman" w:hAnsi="Times New Roman" w:cs="Times New Roman"/>
      <w:color w:val="000000"/>
      <w:sz w:val="28"/>
      <w:szCs w:val="28"/>
    </w:rPr>
  </w:style>
  <w:style w:type="character" w:customStyle="1" w:styleId="22">
    <w:name w:val="Body Text Char"/>
    <w:link w:val="6"/>
    <w:qFormat/>
    <w:uiPriority w:val="0"/>
    <w:rPr>
      <w:sz w:val="24"/>
      <w:szCs w:val="24"/>
    </w:rPr>
  </w:style>
  <w:style w:type="paragraph" w:styleId="23">
    <w:name w:val="List Paragraph"/>
    <w:basedOn w:val="1"/>
    <w:qFormat/>
    <w:uiPriority w:val="34"/>
    <w:pPr>
      <w:ind w:left="720"/>
      <w:contextualSpacing/>
    </w:pPr>
  </w:style>
  <w:style w:type="character" w:customStyle="1" w:styleId="24">
    <w:name w:val="fontstyle21"/>
    <w:basedOn w:val="3"/>
    <w:qFormat/>
    <w:uiPriority w:val="0"/>
    <w:rPr>
      <w:rFonts w:hint="default" w:ascii="Times New Roman" w:hAnsi="Times New Roman" w:cs="Times New Roman"/>
      <w:color w:val="000000"/>
      <w:sz w:val="28"/>
      <w:szCs w:val="28"/>
    </w:rPr>
  </w:style>
  <w:style w:type="character" w:customStyle="1" w:styleId="25">
    <w:name w:val="Balloon Text Char"/>
    <w:basedOn w:val="3"/>
    <w:link w:val="5"/>
    <w:uiPriority w:val="0"/>
    <w:rPr>
      <w:rFonts w:ascii="Segoe UI" w:hAnsi="Segoe UI" w:cs="Segoe UI"/>
      <w:sz w:val="18"/>
      <w:szCs w:val="18"/>
    </w:rPr>
  </w:style>
  <w:style w:type="character" w:customStyle="1" w:styleId="26">
    <w:name w:val="Heading 4 Char"/>
    <w:basedOn w:val="3"/>
    <w:link w:val="2"/>
    <w:qFormat/>
    <w:uiPriority w:val="0"/>
    <w:rPr>
      <w:rFonts w:ascii="Calibri" w:hAnsi="Calibri"/>
      <w:b/>
      <w:bCs/>
      <w:sz w:val="28"/>
      <w:szCs w:val="28"/>
    </w:rPr>
  </w:style>
  <w:style w:type="character" w:customStyle="1" w:styleId="27">
    <w:name w:val="Footnote Text Char"/>
    <w:basedOn w:val="3"/>
    <w:link w:val="10"/>
    <w:qFormat/>
    <w:uiPriority w:val="0"/>
    <w:rPr>
      <w:rFonts w:ascii=".VnTime" w:hAnsi=".VnTim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3</Pages>
  <Words>1196</Words>
  <Characters>4266</Characters>
  <Lines>39</Lines>
  <Paragraphs>11</Paragraphs>
  <TotalTime>28</TotalTime>
  <ScaleCrop>false</ScaleCrop>
  <LinksUpToDate>false</LinksUpToDate>
  <CharactersWithSpaces>5485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2026-10-19T10:28:00Z</dcterms:created>
  <dc:creator>VX2</dc:creator>
  <cp:lastModifiedBy>user</cp:lastModifiedBy>
  <cp:lastPrinted>2023-09-26T02:42:00Z</cp:lastPrinted>
  <dcterms:modified xsi:type="dcterms:W3CDTF">2026-10-23T07:45:39Z</dcterms:modified>
  <dc:title>UBND TỈNH HÀ TĨNH</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DCEB9369C52E41B39409C944D8787F9F_13</vt:lpwstr>
  </property>
</Properties>
</file>